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2315E" w14:textId="5D1E05D6" w:rsidR="003540E5" w:rsidRPr="00347BC7" w:rsidRDefault="003540E5" w:rsidP="003540E5">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347BC7">
        <w:rPr>
          <w:rFonts w:ascii="Arial" w:eastAsia="바탕" w:hAnsi="Arial" w:cs="Arial"/>
          <w:b/>
          <w:bCs/>
          <w:snapToGrid w:val="0"/>
          <w:kern w:val="2"/>
          <w:sz w:val="24"/>
          <w:szCs w:val="24"/>
        </w:rPr>
        <w:t>3GPP TSG RAN WG1 #</w:t>
      </w:r>
      <w:r>
        <w:rPr>
          <w:rFonts w:ascii="Arial" w:eastAsia="바탕" w:hAnsi="Arial" w:cs="Arial"/>
          <w:b/>
          <w:bCs/>
          <w:snapToGrid w:val="0"/>
          <w:kern w:val="2"/>
          <w:sz w:val="24"/>
          <w:szCs w:val="24"/>
        </w:rPr>
        <w:t>100bis</w:t>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t xml:space="preserve">           </w:t>
      </w:r>
      <w:r w:rsidRPr="00EF7339">
        <w:rPr>
          <w:rFonts w:ascii="Arial" w:eastAsia="바탕" w:hAnsi="Arial" w:cs="Arial"/>
          <w:b/>
          <w:bCs/>
          <w:snapToGrid w:val="0"/>
          <w:kern w:val="2"/>
          <w:sz w:val="24"/>
          <w:szCs w:val="24"/>
        </w:rPr>
        <w:t>R1-</w:t>
      </w:r>
      <w:r w:rsidRPr="00FF4267">
        <w:t xml:space="preserve"> </w:t>
      </w:r>
      <w:r w:rsidR="00596699" w:rsidRPr="00596699">
        <w:rPr>
          <w:rFonts w:ascii="Arial" w:eastAsia="바탕" w:hAnsi="Arial" w:cs="Arial"/>
          <w:b/>
          <w:bCs/>
          <w:snapToGrid w:val="0"/>
          <w:kern w:val="2"/>
          <w:sz w:val="24"/>
          <w:szCs w:val="24"/>
        </w:rPr>
        <w:t>2001888</w:t>
      </w:r>
      <w:bookmarkStart w:id="2" w:name="_GoBack"/>
      <w:bookmarkEnd w:id="2"/>
    </w:p>
    <w:p w14:paraId="2D8C9B32" w14:textId="77777777" w:rsidR="003540E5" w:rsidRPr="00347BC7" w:rsidRDefault="003540E5" w:rsidP="003540E5">
      <w:pPr>
        <w:widowControl w:val="0"/>
        <w:adjustRightInd w:val="0"/>
        <w:snapToGrid w:val="0"/>
        <w:spacing w:line="360" w:lineRule="auto"/>
        <w:rPr>
          <w:rFonts w:ascii="Arial" w:eastAsia="바탕" w:hAnsi="Arial" w:cs="Arial"/>
          <w:b/>
          <w:bCs/>
          <w:snapToGrid w:val="0"/>
          <w:kern w:val="2"/>
          <w:sz w:val="24"/>
          <w:szCs w:val="24"/>
        </w:rPr>
      </w:pPr>
      <w:r>
        <w:rPr>
          <w:rFonts w:ascii="Arial" w:eastAsia="바탕" w:hAnsi="Arial" w:cs="Arial"/>
          <w:b/>
          <w:bCs/>
          <w:snapToGrid w:val="0"/>
          <w:kern w:val="2"/>
          <w:sz w:val="24"/>
          <w:szCs w:val="24"/>
        </w:rPr>
        <w:t>E-Meeting, April</w:t>
      </w:r>
      <w:r w:rsidRPr="007F6863">
        <w:rPr>
          <w:rFonts w:ascii="Arial" w:eastAsia="바탕" w:hAnsi="Arial" w:cs="Arial"/>
          <w:b/>
          <w:bCs/>
          <w:snapToGrid w:val="0"/>
          <w:kern w:val="2"/>
          <w:sz w:val="24"/>
          <w:szCs w:val="24"/>
        </w:rPr>
        <w:t xml:space="preserve"> </w:t>
      </w:r>
      <w:r>
        <w:rPr>
          <w:rFonts w:ascii="Arial" w:eastAsia="바탕" w:hAnsi="Arial" w:cs="Arial"/>
          <w:b/>
          <w:bCs/>
          <w:snapToGrid w:val="0"/>
          <w:kern w:val="2"/>
          <w:sz w:val="24"/>
          <w:szCs w:val="24"/>
        </w:rPr>
        <w:t>20</w:t>
      </w:r>
      <w:r w:rsidRPr="007F6863">
        <w:rPr>
          <w:rFonts w:ascii="Arial" w:eastAsia="바탕" w:hAnsi="Arial" w:cs="Arial"/>
          <w:b/>
          <w:bCs/>
          <w:snapToGrid w:val="0"/>
          <w:kern w:val="2"/>
          <w:sz w:val="24"/>
          <w:szCs w:val="24"/>
        </w:rPr>
        <w:t xml:space="preserve">th – </w:t>
      </w:r>
      <w:r>
        <w:rPr>
          <w:rFonts w:ascii="Arial" w:eastAsia="바탕" w:hAnsi="Arial" w:cs="Arial"/>
          <w:b/>
          <w:bCs/>
          <w:snapToGrid w:val="0"/>
          <w:kern w:val="2"/>
          <w:sz w:val="24"/>
          <w:szCs w:val="24"/>
        </w:rPr>
        <w:t>30th</w:t>
      </w:r>
      <w:r w:rsidRPr="007F6863">
        <w:rPr>
          <w:rFonts w:ascii="Arial" w:eastAsia="바탕" w:hAnsi="Arial" w:cs="Arial"/>
          <w:b/>
          <w:bCs/>
          <w:snapToGrid w:val="0"/>
          <w:kern w:val="2"/>
          <w:sz w:val="24"/>
          <w:szCs w:val="24"/>
        </w:rPr>
        <w:t>, 20</w:t>
      </w:r>
      <w:r>
        <w:rPr>
          <w:rFonts w:ascii="Arial" w:eastAsia="바탕" w:hAnsi="Arial" w:cs="Arial"/>
          <w:b/>
          <w:bCs/>
          <w:snapToGrid w:val="0"/>
          <w:kern w:val="2"/>
          <w:sz w:val="24"/>
          <w:szCs w:val="24"/>
        </w:rPr>
        <w:t>20</w:t>
      </w:r>
    </w:p>
    <w:p w14:paraId="2BD4FE0B" w14:textId="0D8A00D4" w:rsidR="00B650A9" w:rsidRPr="00DC2F24" w:rsidRDefault="00154900" w:rsidP="00B650A9">
      <w:pPr>
        <w:wordWrap/>
        <w:adjustRightInd w:val="0"/>
        <w:snapToGrid w:val="0"/>
        <w:spacing w:line="360" w:lineRule="auto"/>
        <w:rPr>
          <w:rFonts w:ascii="Arial" w:hAnsi="Arial" w:cs="Arial"/>
          <w:snapToGrid w:val="0"/>
          <w:sz w:val="24"/>
        </w:rPr>
      </w:pPr>
      <w:r w:rsidRPr="00154900">
        <w:rPr>
          <w:rFonts w:ascii="Arial" w:eastAsia="굴림" w:hAnsi="Arial" w:cs="Arial"/>
          <w:b/>
          <w:snapToGrid w:val="0"/>
          <w:sz w:val="24"/>
          <w:szCs w:val="24"/>
        </w:rPr>
        <w:t>______________________________________________________________________</w:t>
      </w:r>
      <w:bookmarkEnd w:id="0"/>
      <w:bookmarkEnd w:id="1"/>
      <w:r w:rsidR="00B650A9" w:rsidRPr="00B650A9">
        <w:rPr>
          <w:rFonts w:ascii="Arial" w:hAnsi="Arial" w:cs="Arial"/>
          <w:b/>
          <w:snapToGrid w:val="0"/>
          <w:sz w:val="24"/>
        </w:rPr>
        <w:t xml:space="preserve"> </w:t>
      </w:r>
      <w:r w:rsidR="00B650A9" w:rsidRPr="00DC2F24">
        <w:rPr>
          <w:rFonts w:ascii="Arial" w:hAnsi="Arial" w:cs="Arial"/>
          <w:b/>
          <w:snapToGrid w:val="0"/>
          <w:sz w:val="24"/>
        </w:rPr>
        <w:t>Agenda item:</w:t>
      </w:r>
      <w:r w:rsidR="00B650A9" w:rsidRPr="00DC2F24">
        <w:rPr>
          <w:rFonts w:ascii="Arial" w:hAnsi="Arial" w:cs="Arial"/>
          <w:snapToGrid w:val="0"/>
          <w:sz w:val="24"/>
        </w:rPr>
        <w:t xml:space="preserve"> </w:t>
      </w:r>
      <w:r w:rsidR="00B650A9">
        <w:rPr>
          <w:rFonts w:ascii="Arial" w:hAnsi="Arial" w:cs="Arial"/>
          <w:snapToGrid w:val="0"/>
          <w:sz w:val="24"/>
        </w:rPr>
        <w:t>7</w:t>
      </w:r>
      <w:r w:rsidR="00B650A9" w:rsidRPr="001D2309">
        <w:rPr>
          <w:rFonts w:ascii="Arial" w:hAnsi="Arial" w:cs="Arial"/>
          <w:snapToGrid w:val="0"/>
          <w:sz w:val="24"/>
        </w:rPr>
        <w:t>.2.</w:t>
      </w:r>
      <w:r w:rsidR="00B650A9">
        <w:rPr>
          <w:rFonts w:ascii="Arial" w:hAnsi="Arial" w:cs="Arial"/>
          <w:snapToGrid w:val="0"/>
          <w:sz w:val="24"/>
        </w:rPr>
        <w:t>4</w:t>
      </w:r>
      <w:r w:rsidR="00B650A9" w:rsidRPr="001D2309">
        <w:rPr>
          <w:rFonts w:ascii="Arial" w:hAnsi="Arial" w:cs="Arial"/>
          <w:snapToGrid w:val="0"/>
          <w:sz w:val="24"/>
        </w:rPr>
        <w:t>.</w:t>
      </w:r>
      <w:r w:rsidR="004A22AA">
        <w:rPr>
          <w:rFonts w:ascii="Arial" w:hAnsi="Arial" w:cs="Arial"/>
          <w:snapToGrid w:val="0"/>
          <w:sz w:val="24"/>
        </w:rPr>
        <w:t>4</w:t>
      </w:r>
    </w:p>
    <w:p w14:paraId="2522B008" w14:textId="77777777" w:rsidR="00B650A9" w:rsidRPr="00DC2F24" w:rsidRDefault="00B650A9" w:rsidP="00B650A9">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3EC7FA0C" w14:textId="24FF16EE" w:rsidR="00B650A9" w:rsidRPr="00F519EE" w:rsidRDefault="00B650A9" w:rsidP="00B650A9">
      <w:pPr>
        <w:wordWrap/>
        <w:spacing w:line="360" w:lineRule="auto"/>
        <w:ind w:left="708" w:hangingChars="295" w:hanging="708"/>
        <w:rPr>
          <w:rFonts w:ascii="Arial" w:hAnsi="Arial" w:cs="Arial"/>
          <w:snapToGrid w:val="0"/>
          <w:sz w:val="24"/>
        </w:rPr>
      </w:pPr>
      <w:r w:rsidRPr="00DC2F24">
        <w:rPr>
          <w:rFonts w:ascii="Arial" w:hAnsi="Arial" w:cs="Arial"/>
          <w:b/>
          <w:snapToGrid w:val="0"/>
          <w:sz w:val="24"/>
        </w:rPr>
        <w:t xml:space="preserve">Title: </w:t>
      </w:r>
      <w:r w:rsidRPr="00F519EE">
        <w:rPr>
          <w:rFonts w:ascii="Arial" w:hAnsi="Arial" w:cs="Arial"/>
          <w:snapToGrid w:val="0"/>
          <w:sz w:val="24"/>
        </w:rPr>
        <w:t xml:space="preserve">Discussion on </w:t>
      </w:r>
      <w:r w:rsidR="003540E5">
        <w:rPr>
          <w:rFonts w:ascii="Arial" w:hAnsi="Arial" w:cs="Arial" w:hint="eastAsia"/>
          <w:snapToGrid w:val="0"/>
          <w:sz w:val="24"/>
        </w:rPr>
        <w:t>in-device coexistence between LTE and NR sidelinks</w:t>
      </w:r>
    </w:p>
    <w:p w14:paraId="18D081B8" w14:textId="77777777" w:rsidR="00B650A9" w:rsidRPr="00DC2F24" w:rsidRDefault="00B650A9" w:rsidP="00B650A9">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p w14:paraId="32D36DE3" w14:textId="63EEB808" w:rsidR="00154900" w:rsidRPr="00154900" w:rsidRDefault="00154900" w:rsidP="00504945">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48738DF2"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003540E5">
        <w:rPr>
          <w:rFonts w:ascii="Calibri" w:eastAsia="바탕" w:hAnsi="Calibri" w:cs="Times New Roman"/>
          <w:kern w:val="2"/>
          <w:sz w:val="22"/>
          <w:szCs w:val="22"/>
        </w:rPr>
        <w:t>99</w:t>
      </w:r>
      <w:r w:rsidRPr="00154900">
        <w:rPr>
          <w:rFonts w:ascii="Calibri" w:eastAsia="바탕" w:hAnsi="Calibri" w:cs="Times New Roman"/>
          <w:kern w:val="2"/>
          <w:sz w:val="22"/>
          <w:szCs w:val="22"/>
        </w:rPr>
        <w:t xml:space="preserve">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a"/>
        <w:tblW w:w="0" w:type="auto"/>
        <w:tblLook w:val="04A0" w:firstRow="1" w:lastRow="0" w:firstColumn="1" w:lastColumn="0" w:noHBand="0" w:noVBand="1"/>
      </w:tblPr>
      <w:tblGrid>
        <w:gridCol w:w="9016"/>
      </w:tblGrid>
      <w:tr w:rsidR="00154900" w:rsidRPr="00154900" w14:paraId="06698EA8" w14:textId="77777777" w:rsidTr="00031900">
        <w:tc>
          <w:tcPr>
            <w:tcW w:w="9016" w:type="dxa"/>
          </w:tcPr>
          <w:p w14:paraId="54058DF7" w14:textId="77777777" w:rsidR="003540E5" w:rsidRPr="003540E5" w:rsidRDefault="003540E5" w:rsidP="003540E5">
            <w:pPr>
              <w:wordWrap/>
              <w:autoSpaceDE/>
              <w:autoSpaceDN/>
              <w:ind w:left="1440" w:hanging="1440"/>
              <w:jc w:val="left"/>
              <w:rPr>
                <w:rFonts w:ascii="Calibri" w:eastAsia="바탕" w:hAnsi="Calibri" w:cs="Calibri"/>
                <w:i/>
                <w:sz w:val="22"/>
                <w:lang w:val="en-GB" w:eastAsia="x-none"/>
              </w:rPr>
            </w:pPr>
            <w:r w:rsidRPr="003540E5">
              <w:rPr>
                <w:rFonts w:ascii="Calibri" w:eastAsia="바탕" w:hAnsi="Calibri" w:cs="Calibri"/>
                <w:i/>
                <w:sz w:val="22"/>
                <w:highlight w:val="green"/>
                <w:lang w:val="en-GB" w:eastAsia="x-none"/>
              </w:rPr>
              <w:t>Agreements</w:t>
            </w:r>
            <w:r w:rsidRPr="003540E5">
              <w:rPr>
                <w:rFonts w:ascii="Calibri" w:eastAsia="바탕" w:hAnsi="Calibri" w:cs="Calibri"/>
                <w:i/>
                <w:sz w:val="22"/>
                <w:lang w:val="en-GB" w:eastAsia="x-none"/>
              </w:rPr>
              <w:t>:</w:t>
            </w:r>
          </w:p>
          <w:p w14:paraId="742424A7" w14:textId="77777777" w:rsidR="003540E5" w:rsidRPr="003540E5" w:rsidRDefault="003540E5" w:rsidP="003540E5">
            <w:pPr>
              <w:numPr>
                <w:ilvl w:val="0"/>
                <w:numId w:val="30"/>
              </w:numPr>
              <w:wordWrap/>
              <w:autoSpaceDE/>
              <w:autoSpaceDN/>
              <w:spacing w:after="180"/>
              <w:contextualSpacing/>
              <w:jc w:val="left"/>
              <w:rPr>
                <w:rFonts w:ascii="Calibri" w:eastAsia="바탕" w:hAnsi="Calibri" w:cs="Calibri"/>
                <w:i/>
                <w:sz w:val="22"/>
                <w:lang w:val="en-GB" w:eastAsia="x-none"/>
              </w:rPr>
            </w:pPr>
            <w:r w:rsidRPr="003540E5">
              <w:rPr>
                <w:rFonts w:ascii="Calibri" w:eastAsia="바탕" w:hAnsi="Calibri" w:cs="Calibri"/>
                <w:i/>
                <w:sz w:val="22"/>
                <w:lang w:val="en-GB" w:eastAsia="x-none"/>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299F1866" w14:textId="77777777" w:rsidR="003540E5" w:rsidRPr="003540E5" w:rsidRDefault="003540E5" w:rsidP="003540E5">
            <w:pPr>
              <w:wordWrap/>
              <w:autoSpaceDE/>
              <w:autoSpaceDN/>
              <w:spacing w:after="180"/>
              <w:ind w:left="720"/>
              <w:contextualSpacing/>
              <w:jc w:val="left"/>
              <w:rPr>
                <w:rFonts w:ascii="Calibri" w:eastAsia="바탕" w:hAnsi="Calibri" w:cs="Calibri"/>
                <w:i/>
                <w:sz w:val="22"/>
                <w:lang w:val="en-GB" w:eastAsia="x-none"/>
              </w:rPr>
            </w:pPr>
          </w:p>
          <w:p w14:paraId="5777D31A" w14:textId="77777777" w:rsidR="003540E5" w:rsidRPr="003540E5" w:rsidRDefault="003540E5" w:rsidP="003540E5">
            <w:pPr>
              <w:wordWrap/>
              <w:autoSpaceDE/>
              <w:autoSpaceDN/>
              <w:ind w:left="1440" w:hanging="1440"/>
              <w:jc w:val="left"/>
              <w:rPr>
                <w:rFonts w:ascii="Calibri" w:eastAsia="바탕" w:hAnsi="Calibri" w:cs="Calibri"/>
                <w:i/>
                <w:sz w:val="22"/>
                <w:lang w:val="en-GB" w:eastAsia="x-none"/>
              </w:rPr>
            </w:pPr>
            <w:r w:rsidRPr="003540E5">
              <w:rPr>
                <w:rFonts w:ascii="Calibri" w:eastAsia="바탕" w:hAnsi="Calibri" w:cs="Calibri"/>
                <w:i/>
                <w:sz w:val="22"/>
                <w:highlight w:val="green"/>
                <w:lang w:val="en-GB" w:eastAsia="x-none"/>
              </w:rPr>
              <w:t>Agreements</w:t>
            </w:r>
            <w:r w:rsidRPr="003540E5">
              <w:rPr>
                <w:rFonts w:ascii="Calibri" w:eastAsia="바탕" w:hAnsi="Calibri" w:cs="Calibri"/>
                <w:i/>
                <w:sz w:val="22"/>
                <w:lang w:val="en-GB" w:eastAsia="x-none"/>
              </w:rPr>
              <w:t>:</w:t>
            </w:r>
          </w:p>
          <w:p w14:paraId="2AEA6251" w14:textId="77777777" w:rsidR="003540E5" w:rsidRPr="003540E5" w:rsidRDefault="003540E5" w:rsidP="003540E5">
            <w:pPr>
              <w:numPr>
                <w:ilvl w:val="0"/>
                <w:numId w:val="31"/>
              </w:numPr>
              <w:wordWrap/>
              <w:autoSpaceDE/>
              <w:autoSpaceDN/>
              <w:spacing w:after="180"/>
              <w:contextualSpacing/>
              <w:jc w:val="left"/>
              <w:rPr>
                <w:rFonts w:ascii="Calibri" w:eastAsia="바탕" w:hAnsi="Calibri" w:cs="Calibri"/>
                <w:i/>
                <w:sz w:val="22"/>
                <w:lang w:eastAsia="x-none"/>
              </w:rPr>
            </w:pPr>
            <w:r w:rsidRPr="003540E5">
              <w:rPr>
                <w:rFonts w:ascii="Calibri" w:eastAsia="바탕" w:hAnsi="Calibri" w:cs="Calibri"/>
                <w:i/>
                <w:sz w:val="22"/>
                <w:lang w:eastAsia="x-none"/>
              </w:rPr>
              <w:t>In-device coexistence conflicts for network-controlled modes are addressed in the same way as for UE-autonomous modes</w:t>
            </w:r>
          </w:p>
          <w:p w14:paraId="7CCA770B" w14:textId="77777777" w:rsidR="003540E5" w:rsidRPr="003540E5" w:rsidRDefault="003540E5" w:rsidP="003540E5">
            <w:pPr>
              <w:numPr>
                <w:ilvl w:val="1"/>
                <w:numId w:val="31"/>
              </w:numPr>
              <w:wordWrap/>
              <w:autoSpaceDE/>
              <w:autoSpaceDN/>
              <w:spacing w:after="180"/>
              <w:contextualSpacing/>
              <w:jc w:val="left"/>
              <w:rPr>
                <w:rFonts w:ascii="Calibri" w:eastAsia="바탕" w:hAnsi="Calibri" w:cs="Calibri"/>
                <w:i/>
                <w:sz w:val="22"/>
                <w:lang w:eastAsia="x-none"/>
              </w:rPr>
            </w:pPr>
            <w:r w:rsidRPr="003540E5">
              <w:rPr>
                <w:rFonts w:ascii="Calibri" w:eastAsia="바탕" w:hAnsi="Calibri" w:cs="Calibri"/>
                <w:i/>
                <w:sz w:val="22"/>
                <w:lang w:eastAsia="x-none"/>
              </w:rPr>
              <w:t>No addition spec is expected</w:t>
            </w:r>
          </w:p>
          <w:p w14:paraId="07C75DE3" w14:textId="74339B3C" w:rsidR="009B7B5D" w:rsidRPr="009B7B5D" w:rsidRDefault="009B7B5D" w:rsidP="009B7B5D">
            <w:pPr>
              <w:widowControl/>
              <w:wordWrap/>
              <w:autoSpaceDE/>
              <w:autoSpaceDN/>
              <w:jc w:val="left"/>
              <w:rPr>
                <w:rFonts w:ascii="Times New Roman" w:hAnsi="Times New Roman"/>
                <w:bCs/>
                <w:i/>
                <w:iCs/>
              </w:rPr>
            </w:pPr>
          </w:p>
        </w:tc>
      </w:tr>
    </w:tbl>
    <w:p w14:paraId="51295D6A" w14:textId="1388F46C" w:rsidR="00154900"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r w:rsidR="003540E5">
        <w:rPr>
          <w:rFonts w:ascii="Calibri" w:eastAsia="바탕" w:hAnsi="Calibri" w:cs="Times New Roman"/>
          <w:kern w:val="2"/>
          <w:sz w:val="22"/>
          <w:szCs w:val="22"/>
        </w:rPr>
        <w:t>in-device coexistence between LTE and NR sidelinks</w:t>
      </w:r>
      <w:r w:rsidRPr="00154900">
        <w:rPr>
          <w:rFonts w:ascii="Calibri" w:eastAsia="바탕" w:hAnsi="Calibri" w:cs="Times New Roman"/>
          <w:kern w:val="2"/>
          <w:sz w:val="22"/>
          <w:szCs w:val="22"/>
        </w:rPr>
        <w:t xml:space="preserve">. </w:t>
      </w:r>
    </w:p>
    <w:p w14:paraId="0C0CEA8F" w14:textId="77777777" w:rsidR="00D758F2" w:rsidRPr="00D758F2" w:rsidRDefault="00D758F2"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62E01397" w14:textId="77777777" w:rsidR="00491DBE" w:rsidRDefault="00491DBE" w:rsidP="00491DB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There are following agreements made in </w:t>
      </w:r>
      <w:r w:rsidRPr="00C26D7F">
        <w:rPr>
          <w:rFonts w:ascii="Calibri" w:eastAsiaTheme="minorEastAsia" w:hAnsi="Calibri" w:cs="Calibri"/>
          <w:sz w:val="22"/>
        </w:rPr>
        <w:t xml:space="preserve">RAN1 #1901 adhoc and RAN1 #96 meeting </w:t>
      </w:r>
      <w:r>
        <w:rPr>
          <w:rFonts w:ascii="Calibri" w:eastAsiaTheme="minorEastAsia" w:hAnsi="Calibri" w:cs="Calibri"/>
          <w:sz w:val="22"/>
        </w:rPr>
        <w:t>regarding the in-device coexistence operation.</w:t>
      </w:r>
    </w:p>
    <w:p w14:paraId="31F89588" w14:textId="77777777" w:rsidR="007341AD" w:rsidRPr="00491DBE" w:rsidRDefault="007341AD" w:rsidP="007341AD">
      <w:pPr>
        <w:rPr>
          <w:rFonts w:ascii="Times New Roman" w:hAnsi="Times New Roman"/>
          <w:i/>
          <w:highlight w:val="green"/>
          <w:lang w:eastAsia="x-none"/>
        </w:rPr>
      </w:pPr>
    </w:p>
    <w:p w14:paraId="288D59B3" w14:textId="77777777" w:rsidR="007341AD" w:rsidRPr="00737868" w:rsidRDefault="007341AD" w:rsidP="007341AD">
      <w:pPr>
        <w:rPr>
          <w:rFonts w:ascii="Times New Roman" w:hAnsi="Times New Roman"/>
          <w:b/>
          <w:i/>
          <w:lang w:eastAsia="x-none"/>
        </w:rPr>
      </w:pPr>
      <w:r w:rsidRPr="00737868">
        <w:rPr>
          <w:rFonts w:ascii="Times New Roman" w:hAnsi="Times New Roman"/>
          <w:i/>
          <w:highlight w:val="green"/>
          <w:lang w:eastAsia="x-none"/>
        </w:rPr>
        <w:t>Agreements</w:t>
      </w:r>
      <w:r w:rsidRPr="00737868">
        <w:rPr>
          <w:rFonts w:ascii="Times New Roman" w:hAnsi="Times New Roman"/>
          <w:b/>
          <w:i/>
          <w:lang w:eastAsia="x-none"/>
        </w:rPr>
        <w:t>:</w:t>
      </w:r>
    </w:p>
    <w:p w14:paraId="51B6F2F4" w14:textId="77777777" w:rsidR="007341AD" w:rsidRPr="00737868" w:rsidRDefault="007341AD" w:rsidP="007341AD">
      <w:pPr>
        <w:pStyle w:val="af4"/>
        <w:widowControl/>
        <w:numPr>
          <w:ilvl w:val="0"/>
          <w:numId w:val="32"/>
        </w:numPr>
        <w:wordWrap/>
        <w:autoSpaceDE/>
        <w:autoSpaceDN/>
        <w:spacing w:before="0" w:after="0" w:line="240" w:lineRule="auto"/>
        <w:ind w:leftChars="0"/>
        <w:contextualSpacing/>
        <w:jc w:val="left"/>
        <w:rPr>
          <w:rFonts w:ascii="Times New Roman" w:hAnsi="Times New Roman"/>
          <w:i/>
          <w:color w:val="000000"/>
          <w:szCs w:val="20"/>
        </w:rPr>
      </w:pPr>
      <w:r w:rsidRPr="000612EB">
        <w:rPr>
          <w:rFonts w:ascii="Times New Roman" w:hAnsi="Times New Roman"/>
          <w:i/>
          <w:color w:val="000000"/>
          <w:szCs w:val="20"/>
          <w:highlight w:val="yellow"/>
        </w:rPr>
        <w:t>For TDM solutions for in-device coexistence between LTE and NR V2X</w:t>
      </w:r>
      <w:r w:rsidRPr="00737868">
        <w:rPr>
          <w:rFonts w:ascii="Times New Roman" w:hAnsi="Times New Roman"/>
          <w:i/>
          <w:color w:val="000000"/>
          <w:szCs w:val="20"/>
        </w:rPr>
        <w:t>:</w:t>
      </w:r>
    </w:p>
    <w:p w14:paraId="72936D0E" w14:textId="77777777" w:rsidR="007341AD" w:rsidRPr="00737868" w:rsidRDefault="007341AD" w:rsidP="007341AD">
      <w:pPr>
        <w:pStyle w:val="af4"/>
        <w:widowControl/>
        <w:numPr>
          <w:ilvl w:val="1"/>
          <w:numId w:val="32"/>
        </w:numPr>
        <w:wordWrap/>
        <w:autoSpaceDE/>
        <w:autoSpaceDN/>
        <w:spacing w:before="0" w:after="0" w:line="240" w:lineRule="auto"/>
        <w:ind w:leftChars="0"/>
        <w:contextualSpacing/>
        <w:jc w:val="left"/>
        <w:rPr>
          <w:rFonts w:ascii="Times New Roman" w:hAnsi="Times New Roman"/>
          <w:i/>
          <w:color w:val="000000"/>
          <w:szCs w:val="20"/>
        </w:rPr>
      </w:pPr>
      <w:r w:rsidRPr="00737868">
        <w:rPr>
          <w:rFonts w:ascii="Times New Roman" w:hAnsi="Times New Roman"/>
          <w:i/>
          <w:color w:val="000000"/>
          <w:szCs w:val="20"/>
        </w:rPr>
        <w:t>Time Alignment</w:t>
      </w:r>
    </w:p>
    <w:p w14:paraId="1CCB99F0" w14:textId="77777777" w:rsidR="007341AD" w:rsidRPr="00737868" w:rsidRDefault="007341AD" w:rsidP="007341AD">
      <w:pPr>
        <w:pStyle w:val="af4"/>
        <w:widowControl/>
        <w:numPr>
          <w:ilvl w:val="2"/>
          <w:numId w:val="32"/>
        </w:numPr>
        <w:wordWrap/>
        <w:autoSpaceDE/>
        <w:autoSpaceDN/>
        <w:spacing w:before="0" w:after="0" w:line="240" w:lineRule="auto"/>
        <w:ind w:leftChars="0"/>
        <w:contextualSpacing/>
        <w:jc w:val="left"/>
        <w:rPr>
          <w:rFonts w:ascii="Times New Roman" w:eastAsia="SimSun" w:hAnsi="Times New Roman"/>
          <w:i/>
          <w:color w:val="000000"/>
          <w:szCs w:val="20"/>
          <w:lang w:eastAsia="en-US"/>
        </w:rPr>
      </w:pPr>
      <w:r w:rsidRPr="000612EB">
        <w:rPr>
          <w:rFonts w:ascii="Times New Roman" w:eastAsia="DengXian" w:hAnsi="Times New Roman"/>
          <w:i/>
          <w:szCs w:val="20"/>
          <w:highlight w:val="yellow"/>
          <w:lang w:eastAsia="zh-CN"/>
        </w:rPr>
        <w:t>Subframe boundary alignment is required between LTE and NR V2X sidelinks</w:t>
      </w:r>
    </w:p>
    <w:p w14:paraId="49DD5CBC" w14:textId="77777777" w:rsidR="007341AD" w:rsidRPr="00506057" w:rsidRDefault="007341AD" w:rsidP="007341AD">
      <w:pPr>
        <w:pStyle w:val="af4"/>
        <w:widowControl/>
        <w:numPr>
          <w:ilvl w:val="2"/>
          <w:numId w:val="32"/>
        </w:numPr>
        <w:wordWrap/>
        <w:autoSpaceDE/>
        <w:autoSpaceDN/>
        <w:spacing w:before="0" w:after="0" w:line="240" w:lineRule="auto"/>
        <w:ind w:leftChars="0"/>
        <w:contextualSpacing/>
        <w:jc w:val="left"/>
        <w:rPr>
          <w:rFonts w:ascii="Times New Roman" w:hAnsi="Times New Roman"/>
          <w:i/>
          <w:color w:val="000000"/>
          <w:szCs w:val="20"/>
        </w:rPr>
      </w:pPr>
      <w:r w:rsidRPr="00737868">
        <w:rPr>
          <w:rFonts w:ascii="Times New Roman" w:eastAsia="DengXian" w:hAnsi="Times New Roman"/>
          <w:i/>
          <w:szCs w:val="20"/>
          <w:lang w:eastAsia="zh-CN"/>
        </w:rPr>
        <w:t>Both LTE and NR V2X sidelinks are aware of the time resource index (e.g., DFN for LTE) in both carriers</w:t>
      </w:r>
    </w:p>
    <w:p w14:paraId="4C3B7C40" w14:textId="77777777" w:rsidR="007341AD" w:rsidRDefault="007341AD" w:rsidP="007341AD">
      <w:pPr>
        <w:rPr>
          <w:color w:val="1F497D"/>
          <w:lang w:val="en-GB"/>
        </w:rPr>
      </w:pPr>
    </w:p>
    <w:p w14:paraId="211A88EE" w14:textId="77777777" w:rsidR="007341AD" w:rsidRDefault="007341AD" w:rsidP="007341AD">
      <w:pPr>
        <w:wordWrap/>
        <w:autoSpaceDE/>
        <w:jc w:val="left"/>
        <w:rPr>
          <w:rFonts w:ascii="Times" w:hAnsi="Times" w:cs="Times"/>
          <w:b/>
          <w:bCs/>
          <w:i/>
          <w:iCs/>
          <w:lang w:val="en-GB" w:eastAsia="x-none"/>
        </w:rPr>
      </w:pPr>
      <w:r>
        <w:rPr>
          <w:rFonts w:ascii="Times" w:hAnsi="Times" w:cs="Times"/>
          <w:i/>
          <w:iCs/>
          <w:highlight w:val="green"/>
          <w:lang w:val="en-GB" w:eastAsia="x-none"/>
        </w:rPr>
        <w:t>Agreements</w:t>
      </w:r>
      <w:r>
        <w:rPr>
          <w:rFonts w:ascii="Times" w:hAnsi="Times" w:cs="Times"/>
          <w:b/>
          <w:bCs/>
          <w:i/>
          <w:iCs/>
          <w:lang w:val="en-GB" w:eastAsia="x-none"/>
        </w:rPr>
        <w:t>:</w:t>
      </w:r>
    </w:p>
    <w:p w14:paraId="1203D899" w14:textId="77777777" w:rsidR="007341AD" w:rsidRDefault="007341AD" w:rsidP="007341AD">
      <w:pPr>
        <w:numPr>
          <w:ilvl w:val="0"/>
          <w:numId w:val="35"/>
        </w:numPr>
        <w:wordWrap/>
        <w:autoSpaceDE/>
        <w:jc w:val="left"/>
        <w:rPr>
          <w:rFonts w:ascii="Times" w:hAnsi="Times" w:cs="Times"/>
          <w:i/>
          <w:iCs/>
          <w:lang w:val="en-GB" w:eastAsia="zh-CN"/>
        </w:rPr>
      </w:pPr>
      <w:r>
        <w:rPr>
          <w:rFonts w:ascii="Times" w:hAnsi="Times" w:cs="Times"/>
          <w:i/>
          <w:iCs/>
          <w:lang w:val="en-GB" w:eastAsia="zh-CN"/>
        </w:rPr>
        <w:t>From RAN1 point of view, for both intra-band and inter-band Tx/Tx FDM solutions for in-device coexistence are considered to be feasible, at least if the following conditions are met:</w:t>
      </w:r>
    </w:p>
    <w:p w14:paraId="389919A8" w14:textId="77777777" w:rsidR="007341AD" w:rsidRDefault="007341AD" w:rsidP="007341AD">
      <w:pPr>
        <w:numPr>
          <w:ilvl w:val="1"/>
          <w:numId w:val="35"/>
        </w:numPr>
        <w:wordWrap/>
        <w:autoSpaceDE/>
        <w:jc w:val="left"/>
        <w:rPr>
          <w:rFonts w:ascii="Times" w:hAnsi="Times" w:cs="Times"/>
          <w:i/>
          <w:iCs/>
          <w:lang w:val="en-GB" w:eastAsia="zh-CN"/>
        </w:rPr>
      </w:pPr>
      <w:r>
        <w:rPr>
          <w:rFonts w:ascii="Times" w:hAnsi="Times" w:cs="Times"/>
          <w:i/>
          <w:iCs/>
          <w:lang w:val="en-GB" w:eastAsia="zh-CN"/>
        </w:rPr>
        <w:t xml:space="preserve">For the intra-band case for dynamic power sharing, NR and LTE transmissions are fully overlapped in the time domain, i.e., NR transmissions have to span the entire LTE TTI such that the total power across the transmissions is constant. </w:t>
      </w:r>
    </w:p>
    <w:p w14:paraId="647A2516" w14:textId="77777777" w:rsidR="007341AD" w:rsidRPr="007341AD" w:rsidRDefault="007341AD" w:rsidP="007341AD">
      <w:pPr>
        <w:numPr>
          <w:ilvl w:val="0"/>
          <w:numId w:val="32"/>
        </w:numPr>
        <w:wordWrap/>
        <w:autoSpaceDE/>
        <w:jc w:val="left"/>
        <w:rPr>
          <w:rFonts w:ascii="Times" w:hAnsi="Times" w:cs="Times"/>
          <w:i/>
          <w:iCs/>
          <w:color w:val="000000"/>
          <w:lang w:val="en-GB" w:eastAsia="x-none"/>
        </w:rPr>
      </w:pPr>
      <w:r w:rsidRPr="000612EB">
        <w:rPr>
          <w:rFonts w:ascii="Times" w:hAnsi="Times" w:cs="Times"/>
          <w:i/>
          <w:iCs/>
          <w:color w:val="000000"/>
          <w:highlight w:val="yellow"/>
          <w:lang w:val="en-GB" w:eastAsia="x-none"/>
        </w:rPr>
        <w:t>For intra-band and inter-band FDM</w:t>
      </w:r>
      <w:r w:rsidRPr="007341AD">
        <w:rPr>
          <w:rFonts w:ascii="Times" w:hAnsi="Times" w:cs="Times"/>
          <w:i/>
          <w:iCs/>
          <w:color w:val="000000"/>
          <w:lang w:val="en-GB" w:eastAsia="x-none"/>
        </w:rPr>
        <w:t xml:space="preserve"> dynamic power sharing solutions, the following additional conditions apply:</w:t>
      </w:r>
    </w:p>
    <w:p w14:paraId="3CED9BC7" w14:textId="77777777" w:rsidR="007341AD" w:rsidRPr="007341AD" w:rsidRDefault="007341AD" w:rsidP="007341AD">
      <w:pPr>
        <w:numPr>
          <w:ilvl w:val="1"/>
          <w:numId w:val="32"/>
        </w:numPr>
        <w:wordWrap/>
        <w:autoSpaceDE/>
        <w:jc w:val="left"/>
        <w:rPr>
          <w:rFonts w:ascii="Times" w:hAnsi="Times" w:cs="Times"/>
          <w:i/>
          <w:iCs/>
          <w:color w:val="000000"/>
          <w:lang w:val="en-GB" w:eastAsia="x-none"/>
        </w:rPr>
      </w:pPr>
      <w:r w:rsidRPr="000612EB">
        <w:rPr>
          <w:rFonts w:ascii="Times" w:hAnsi="Times" w:cs="Times"/>
          <w:i/>
          <w:iCs/>
          <w:highlight w:val="yellow"/>
          <w:lang w:val="en-GB" w:eastAsia="zh-CN"/>
        </w:rPr>
        <w:t>Subframe boundary alignment is required between LTE and NR V2X sidelinks</w:t>
      </w:r>
    </w:p>
    <w:p w14:paraId="027DF285" w14:textId="77777777" w:rsidR="007341AD" w:rsidRDefault="007341AD" w:rsidP="007341AD">
      <w:pPr>
        <w:numPr>
          <w:ilvl w:val="1"/>
          <w:numId w:val="32"/>
        </w:numPr>
        <w:wordWrap/>
        <w:autoSpaceDE/>
        <w:jc w:val="left"/>
        <w:rPr>
          <w:rFonts w:ascii="Times" w:hAnsi="Times" w:cs="Times"/>
          <w:i/>
          <w:iCs/>
          <w:color w:val="000000"/>
          <w:lang w:val="en-GB" w:eastAsia="x-none"/>
        </w:rPr>
      </w:pPr>
      <w:r>
        <w:rPr>
          <w:rFonts w:ascii="Times" w:hAnsi="Times" w:cs="Times"/>
          <w:i/>
          <w:iCs/>
          <w:lang w:val="en-GB" w:eastAsia="zh-CN"/>
        </w:rPr>
        <w:t>Both LTE and NR V2X sidelinks are aware of the time resource index (e.g., DFN for LTE) in both carriers</w:t>
      </w:r>
    </w:p>
    <w:p w14:paraId="34CD87E6" w14:textId="77777777" w:rsidR="007341AD" w:rsidRDefault="007341AD" w:rsidP="007341AD">
      <w:pPr>
        <w:numPr>
          <w:ilvl w:val="0"/>
          <w:numId w:val="35"/>
        </w:numPr>
        <w:wordWrap/>
        <w:autoSpaceDE/>
        <w:jc w:val="left"/>
        <w:rPr>
          <w:rFonts w:ascii="Times" w:hAnsi="Times" w:cs="Times"/>
          <w:i/>
          <w:iCs/>
          <w:color w:val="000000"/>
          <w:lang w:val="en-GB" w:eastAsia="x-none"/>
        </w:rPr>
      </w:pPr>
      <w:r>
        <w:rPr>
          <w:rFonts w:ascii="Times" w:hAnsi="Times" w:cs="Times"/>
          <w:i/>
          <w:iCs/>
          <w:lang w:val="en-GB" w:eastAsia="zh-CN"/>
        </w:rPr>
        <w:t xml:space="preserve">For purposes of dynamic power sharing between LTE and NR Tx, </w:t>
      </w:r>
    </w:p>
    <w:p w14:paraId="4BE34325" w14:textId="77777777" w:rsidR="007341AD" w:rsidRDefault="007341AD" w:rsidP="007341AD">
      <w:pPr>
        <w:numPr>
          <w:ilvl w:val="1"/>
          <w:numId w:val="35"/>
        </w:numPr>
        <w:wordWrap/>
        <w:autoSpaceDE/>
        <w:jc w:val="left"/>
        <w:rPr>
          <w:rFonts w:ascii="Times" w:hAnsi="Times" w:cs="Times"/>
          <w:i/>
          <w:iCs/>
          <w:color w:val="000000"/>
          <w:lang w:val="en-GB" w:eastAsia="x-none"/>
        </w:rPr>
      </w:pPr>
      <w:r>
        <w:rPr>
          <w:rFonts w:ascii="Times" w:hAnsi="Times" w:cs="Times"/>
          <w:i/>
          <w:iCs/>
          <w:color w:val="000000"/>
          <w:lang w:val="en-GB" w:eastAsia="x-none"/>
        </w:rPr>
        <w:lastRenderedPageBreak/>
        <w:t>High-level principles of prioritization (e.g., BSM is deemed to have a higher priority, etc.) of LTE/NR can be discussed during the WI phase, while it is expected that detailed solutions may be left for implementation</w:t>
      </w:r>
    </w:p>
    <w:p w14:paraId="14A152D1" w14:textId="6F501E43" w:rsidR="007341AD" w:rsidRPr="00B70C79" w:rsidRDefault="00B70C79" w:rsidP="007341AD">
      <w:pPr>
        <w:pStyle w:val="LGTdoc0"/>
        <w:spacing w:before="100" w:beforeAutospacing="1" w:afterAutospacing="1"/>
        <w:ind w:firstLine="425"/>
        <w:rPr>
          <w:rFonts w:ascii="Calibri" w:eastAsia="맑은 고딕" w:hAnsi="Calibri" w:cs="Calibri"/>
          <w:bCs/>
          <w:iCs/>
          <w:szCs w:val="22"/>
        </w:rPr>
      </w:pPr>
      <w:r w:rsidRPr="00B70C79">
        <w:rPr>
          <w:rFonts w:ascii="Calibri" w:eastAsia="맑은 고딕" w:hAnsi="Calibri" w:cs="Calibri"/>
          <w:bCs/>
          <w:iCs/>
          <w:szCs w:val="22"/>
        </w:rPr>
        <w:t>Summarizing the above agreements, when a UE is configured to operate following the in-device coexistence between LTE-V2X and NR-V2X, the UE needs to transmit the NR-V2X subframes to be aligned with the LTE-V2X subframes for both TDM and FDM case.</w:t>
      </w:r>
    </w:p>
    <w:p w14:paraId="463638FE" w14:textId="64C6187B" w:rsidR="00B70C79" w:rsidRDefault="00B70C79" w:rsidP="00B70C79">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Pr>
          <w:rFonts w:ascii="Calibri" w:eastAsiaTheme="minorEastAsia" w:hAnsi="Calibri" w:cs="Calibri"/>
          <w:b/>
          <w:i/>
          <w:sz w:val="22"/>
        </w:rPr>
        <w:t xml:space="preserve"> 1</w:t>
      </w:r>
      <w:r w:rsidRPr="00611BF4">
        <w:rPr>
          <w:rFonts w:ascii="Calibri" w:eastAsiaTheme="minorEastAsia" w:hAnsi="Calibri" w:cs="Calibri"/>
          <w:b/>
          <w:i/>
          <w:sz w:val="22"/>
        </w:rPr>
        <w:t>:</w:t>
      </w:r>
      <w:r w:rsidRPr="00611BF4">
        <w:rPr>
          <w:rFonts w:ascii="Calibri" w:eastAsiaTheme="minorEastAsia" w:hAnsi="Calibri" w:cs="Calibri"/>
          <w:i/>
          <w:sz w:val="22"/>
        </w:rPr>
        <w:t xml:space="preserve"> </w:t>
      </w:r>
      <w:r w:rsidR="00504945">
        <w:rPr>
          <w:rFonts w:ascii="Calibri" w:eastAsiaTheme="minorEastAsia" w:hAnsi="Calibri" w:cs="Calibri"/>
          <w:i/>
          <w:sz w:val="22"/>
        </w:rPr>
        <w:t>To capture the</w:t>
      </w:r>
      <w:r w:rsidRPr="00611BF4">
        <w:rPr>
          <w:rFonts w:ascii="Calibri" w:eastAsiaTheme="minorEastAsia" w:hAnsi="Calibri" w:cs="Calibri"/>
          <w:i/>
          <w:sz w:val="22"/>
        </w:rPr>
        <w:t xml:space="preserve"> agreement</w:t>
      </w:r>
      <w:r>
        <w:rPr>
          <w:rFonts w:ascii="Calibri" w:eastAsiaTheme="minorEastAsia" w:hAnsi="Calibri" w:cs="Calibri"/>
          <w:i/>
          <w:sz w:val="22"/>
        </w:rPr>
        <w:t>s</w:t>
      </w:r>
      <w:r w:rsidRPr="00611BF4">
        <w:rPr>
          <w:rFonts w:ascii="Calibri" w:eastAsiaTheme="minorEastAsia" w:hAnsi="Calibri" w:cs="Calibri"/>
          <w:i/>
          <w:sz w:val="22"/>
        </w:rPr>
        <w:t xml:space="preserve"> </w:t>
      </w:r>
      <w:r w:rsidR="00504945">
        <w:rPr>
          <w:rFonts w:ascii="Calibri" w:eastAsiaTheme="minorEastAsia" w:hAnsi="Calibri" w:cs="Calibri"/>
          <w:i/>
          <w:sz w:val="22"/>
        </w:rPr>
        <w:t xml:space="preserve">relevant to </w:t>
      </w:r>
      <w:r w:rsidR="00A7275E">
        <w:rPr>
          <w:rFonts w:ascii="Calibri" w:eastAsiaTheme="minorEastAsia" w:hAnsi="Calibri" w:cs="Calibri" w:hint="eastAsia"/>
          <w:i/>
          <w:sz w:val="22"/>
        </w:rPr>
        <w:t>t</w:t>
      </w:r>
      <w:r w:rsidR="00A7275E">
        <w:rPr>
          <w:rFonts w:ascii="Calibri" w:eastAsiaTheme="minorEastAsia" w:hAnsi="Calibri" w:cs="Calibri"/>
          <w:i/>
          <w:sz w:val="22"/>
        </w:rPr>
        <w:t xml:space="preserve">he </w:t>
      </w:r>
      <w:r w:rsidR="00504945">
        <w:rPr>
          <w:rFonts w:ascii="Calibri" w:eastAsiaTheme="minorEastAsia" w:hAnsi="Calibri" w:cs="Calibri"/>
          <w:i/>
          <w:sz w:val="22"/>
        </w:rPr>
        <w:t xml:space="preserve">boundary </w:t>
      </w:r>
      <w:r w:rsidR="004F3632">
        <w:rPr>
          <w:rFonts w:ascii="Calibri" w:eastAsiaTheme="minorEastAsia" w:hAnsi="Calibri" w:cs="Calibri"/>
          <w:i/>
          <w:sz w:val="22"/>
        </w:rPr>
        <w:t xml:space="preserve">alignment between LTE and NR SL </w:t>
      </w:r>
      <w:r w:rsidRPr="00611BF4">
        <w:rPr>
          <w:rFonts w:ascii="Calibri" w:eastAsiaTheme="minorEastAsia" w:hAnsi="Calibri" w:cs="Calibri"/>
          <w:i/>
          <w:sz w:val="22"/>
        </w:rPr>
        <w:t>m</w:t>
      </w:r>
      <w:r w:rsidR="00A7275E">
        <w:rPr>
          <w:rFonts w:ascii="Calibri" w:eastAsiaTheme="minorEastAsia" w:hAnsi="Calibri" w:cs="Calibri"/>
          <w:i/>
          <w:sz w:val="22"/>
        </w:rPr>
        <w:t>a</w:t>
      </w:r>
      <w:r w:rsidRPr="00611BF4">
        <w:rPr>
          <w:rFonts w:ascii="Calibri" w:eastAsiaTheme="minorEastAsia" w:hAnsi="Calibri" w:cs="Calibri"/>
          <w:i/>
          <w:sz w:val="22"/>
        </w:rPr>
        <w:t>de in RAN1</w:t>
      </w:r>
      <w:r>
        <w:rPr>
          <w:rFonts w:ascii="Calibri" w:eastAsiaTheme="minorEastAsia" w:hAnsi="Calibri" w:cs="Calibri"/>
          <w:i/>
          <w:sz w:val="22"/>
        </w:rPr>
        <w:t xml:space="preserve"> </w:t>
      </w:r>
      <w:r w:rsidRPr="00611BF4">
        <w:rPr>
          <w:rFonts w:ascii="Calibri" w:eastAsiaTheme="minorEastAsia" w:hAnsi="Calibri" w:cs="Calibri"/>
          <w:i/>
          <w:sz w:val="22"/>
        </w:rPr>
        <w:t xml:space="preserve">#1901 adhoc </w:t>
      </w:r>
      <w:r>
        <w:rPr>
          <w:rFonts w:ascii="Calibri" w:eastAsiaTheme="minorEastAsia" w:hAnsi="Calibri" w:cs="Calibri"/>
          <w:i/>
          <w:sz w:val="22"/>
        </w:rPr>
        <w:t>and RAN1 #96 meeting</w:t>
      </w:r>
      <w:r w:rsidRPr="00611BF4">
        <w:rPr>
          <w:rFonts w:ascii="Calibri" w:eastAsiaTheme="minorEastAsia" w:hAnsi="Calibri" w:cs="Calibri"/>
          <w:i/>
          <w:sz w:val="22"/>
        </w:rPr>
        <w:t xml:space="preserve">, following TP </w:t>
      </w:r>
      <w:r>
        <w:rPr>
          <w:rFonts w:ascii="Calibri" w:eastAsiaTheme="minorEastAsia" w:hAnsi="Calibri" w:cs="Calibri"/>
          <w:i/>
          <w:sz w:val="22"/>
        </w:rPr>
        <w:t xml:space="preserve">regarding the in-device coexistence operation </w:t>
      </w:r>
      <w:r w:rsidRPr="00611BF4">
        <w:rPr>
          <w:rFonts w:ascii="Calibri" w:eastAsiaTheme="minorEastAsia" w:hAnsi="Calibri" w:cs="Calibri"/>
          <w:i/>
          <w:sz w:val="22"/>
        </w:rPr>
        <w:t>is included in TS38.213.</w:t>
      </w:r>
    </w:p>
    <w:p w14:paraId="0C733A86" w14:textId="77777777" w:rsidR="00B70C79" w:rsidRPr="00506057" w:rsidRDefault="00B70C79" w:rsidP="00B70C79">
      <w:pPr>
        <w:wordWrap/>
        <w:autoSpaceDE/>
        <w:autoSpaceDN/>
        <w:contextualSpacing/>
        <w:jc w:val="left"/>
        <w:rPr>
          <w:rFonts w:ascii="Times New Roman" w:hAnsi="Times New Roman"/>
          <w:i/>
          <w:color w:val="000000"/>
        </w:rPr>
      </w:pPr>
    </w:p>
    <w:tbl>
      <w:tblPr>
        <w:tblStyle w:val="aa"/>
        <w:tblW w:w="0" w:type="auto"/>
        <w:tblLook w:val="04A0" w:firstRow="1" w:lastRow="0" w:firstColumn="1" w:lastColumn="0" w:noHBand="0" w:noVBand="1"/>
      </w:tblPr>
      <w:tblGrid>
        <w:gridCol w:w="9362"/>
      </w:tblGrid>
      <w:tr w:rsidR="00B70C79" w14:paraId="3DBE750D" w14:textId="77777777" w:rsidTr="00A7275E">
        <w:trPr>
          <w:trHeight w:val="1655"/>
        </w:trPr>
        <w:tc>
          <w:tcPr>
            <w:tcW w:w="9362" w:type="dxa"/>
          </w:tcPr>
          <w:p w14:paraId="3B98D07E" w14:textId="644CDD53" w:rsidR="00B70C79" w:rsidRPr="007F4B4B" w:rsidRDefault="00B70C79" w:rsidP="003A32A5">
            <w:pPr>
              <w:keepNext/>
              <w:keepLines/>
              <w:widowControl/>
              <w:wordWrap/>
              <w:autoSpaceDE/>
              <w:autoSpaceDN/>
              <w:spacing w:after="180"/>
              <w:jc w:val="left"/>
              <w:outlineLvl w:val="1"/>
              <w:rPr>
                <w:rFonts w:ascii="Arial" w:eastAsia="DengXian" w:hAnsi="Arial"/>
                <w:color w:val="C00000"/>
                <w:sz w:val="32"/>
              </w:rPr>
            </w:pPr>
            <w:r w:rsidRPr="007F4B4B">
              <w:rPr>
                <w:rFonts w:ascii="Arial" w:eastAsia="DengXian" w:hAnsi="Arial" w:cs="Times New Roman"/>
                <w:color w:val="C00000"/>
                <w:sz w:val="32"/>
                <w:lang w:val="en-GB" w:eastAsia="en-US"/>
              </w:rPr>
              <w:t>16</w:t>
            </w:r>
            <w:r w:rsidRPr="007F4B4B">
              <w:rPr>
                <w:rFonts w:ascii="Arial" w:eastAsia="DengXian" w:hAnsi="Arial"/>
                <w:color w:val="C00000"/>
                <w:sz w:val="32"/>
              </w:rPr>
              <w:t>.2.X</w:t>
            </w:r>
            <w:r w:rsidRPr="007F4B4B">
              <w:rPr>
                <w:rFonts w:ascii="Arial" w:eastAsia="DengXian" w:hAnsi="Arial"/>
                <w:color w:val="C00000"/>
                <w:sz w:val="32"/>
              </w:rPr>
              <w:tab/>
            </w:r>
            <w:r w:rsidR="00504945" w:rsidRPr="007F4B4B">
              <w:rPr>
                <w:rFonts w:ascii="Arial" w:eastAsia="DengXian" w:hAnsi="Arial"/>
                <w:color w:val="C00000"/>
                <w:sz w:val="32"/>
              </w:rPr>
              <w:t>Operation</w:t>
            </w:r>
            <w:r w:rsidRPr="007F4B4B">
              <w:rPr>
                <w:rFonts w:ascii="Arial" w:eastAsia="DengXian" w:hAnsi="Arial"/>
                <w:color w:val="C00000"/>
                <w:sz w:val="32"/>
              </w:rPr>
              <w:t xml:space="preserve"> for in-device coexistence</w:t>
            </w:r>
          </w:p>
          <w:p w14:paraId="09D7FAD5" w14:textId="6AF80937" w:rsidR="00B70C79" w:rsidRPr="00F52769" w:rsidRDefault="00B70C79" w:rsidP="00504945">
            <w:pPr>
              <w:rPr>
                <w:rFonts w:ascii="Times New Roman" w:hAnsi="Times New Roman"/>
                <w:i/>
                <w:color w:val="000000"/>
              </w:rPr>
            </w:pPr>
            <w:r w:rsidRPr="007F4B4B">
              <w:rPr>
                <w:rFonts w:ascii="Times New Roman" w:eastAsia="SimSun" w:hAnsi="Times New Roman" w:cs="Times New Roman"/>
                <w:color w:val="C00000"/>
                <w:lang w:eastAsia="zh-CN"/>
              </w:rPr>
              <w:t>If a UE</w:t>
            </w:r>
            <w:r w:rsidR="00504945" w:rsidRPr="007F4B4B">
              <w:rPr>
                <w:rFonts w:ascii="Times New Roman" w:eastAsia="SimSun" w:hAnsi="Times New Roman" w:cs="Times New Roman"/>
                <w:color w:val="C00000"/>
                <w:lang w:eastAsia="zh-CN"/>
              </w:rPr>
              <w:t xml:space="preserve"> </w:t>
            </w:r>
            <w:r w:rsidRPr="007F4B4B">
              <w:rPr>
                <w:rFonts w:ascii="Times New Roman" w:hAnsi="Times New Roman" w:cs="Times New Roman"/>
                <w:bCs/>
                <w:color w:val="C00000"/>
                <w:kern w:val="32"/>
                <w:lang w:eastAsia="zh-CN"/>
              </w:rPr>
              <w:t>is configured to operate in in-device coexistence mode between a first channel/signal using</w:t>
            </w:r>
            <w:r w:rsidRPr="007F4B4B">
              <w:rPr>
                <w:rFonts w:ascii="Times New Roman" w:hAnsi="Times New Roman" w:cs="Times New Roman"/>
                <w:color w:val="C00000"/>
              </w:rPr>
              <w:t xml:space="preserve"> E-UTRA radio access</w:t>
            </w:r>
            <w:r w:rsidRPr="007F4B4B">
              <w:rPr>
                <w:rFonts w:ascii="Times New Roman" w:hAnsi="Times New Roman" w:cs="Times New Roman"/>
                <w:bCs/>
                <w:color w:val="C00000"/>
                <w:kern w:val="32"/>
                <w:lang w:eastAsia="zh-CN"/>
              </w:rPr>
              <w:t xml:space="preserve"> and a second channel/signal using NR radio access</w:t>
            </w:r>
            <w:r w:rsidR="00504945" w:rsidRPr="007F4B4B">
              <w:rPr>
                <w:rFonts w:ascii="Times New Roman" w:hAnsi="Times New Roman" w:cs="Times New Roman"/>
                <w:bCs/>
                <w:color w:val="C00000"/>
                <w:kern w:val="32"/>
                <w:lang w:eastAsia="zh-CN"/>
              </w:rPr>
              <w:t xml:space="preserve">, </w:t>
            </w:r>
            <w:r w:rsidRPr="007F4B4B">
              <w:rPr>
                <w:rFonts w:ascii="Times New Roman" w:hAnsi="Times New Roman" w:cs="Times New Roman"/>
                <w:color w:val="C00000"/>
              </w:rPr>
              <w:t>the UE transmits</w:t>
            </w:r>
            <w:r w:rsidR="00504945" w:rsidRPr="007F4B4B">
              <w:rPr>
                <w:rFonts w:ascii="Times New Roman" w:hAnsi="Times New Roman" w:cs="Times New Roman"/>
                <w:color w:val="C00000"/>
              </w:rPr>
              <w:t xml:space="preserve"> or receives</w:t>
            </w:r>
            <w:r w:rsidRPr="007F4B4B">
              <w:rPr>
                <w:rFonts w:ascii="Times New Roman" w:hAnsi="Times New Roman" w:cs="Times New Roman"/>
                <w:color w:val="C00000"/>
              </w:rPr>
              <w:t xml:space="preserve"> the channel/signal so that the subframe boundary of the first channel/signal using E-UTRA radio access is aligned with the subframe boundary of the second channel/signal using NR radio access.</w:t>
            </w:r>
            <w:r w:rsidRPr="007F4B4B">
              <w:rPr>
                <w:color w:val="C00000"/>
              </w:rPr>
              <w:t xml:space="preserve"> </w:t>
            </w:r>
          </w:p>
        </w:tc>
      </w:tr>
    </w:tbl>
    <w:p w14:paraId="4E9D4BFD" w14:textId="77777777" w:rsidR="00B70C79" w:rsidRDefault="00B70C79" w:rsidP="00B70C79">
      <w:pPr>
        <w:wordWrap/>
        <w:autoSpaceDE/>
        <w:autoSpaceDN/>
        <w:contextualSpacing/>
        <w:jc w:val="left"/>
        <w:rPr>
          <w:rFonts w:ascii="Times New Roman" w:hAnsi="Times New Roman"/>
          <w:i/>
          <w:color w:val="000000"/>
        </w:rPr>
      </w:pPr>
    </w:p>
    <w:p w14:paraId="07C3E684" w14:textId="77777777" w:rsidR="00B70C79" w:rsidRDefault="00B70C79" w:rsidP="00B70C79">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For this operation, NR-V2X module of the UE operating on NR-V2X carrier should follow the timing of LTE-V2X module operating on LTE-V2X carrier. Most preferably, it is expected that all the UEs are equipped with both NR-V2X and LTE-V2X modules. That is, there are no NR-V2X only UEs in the area of interest. If NR-V2X module follows the timing of LTE-V2X module, there is no reason not to use the DFN of LTE-V2X for determining the DFN of NR-V2X. Otherwise there is no clear reference for NR-V2X DFN.</w:t>
      </w:r>
    </w:p>
    <w:p w14:paraId="016F0649" w14:textId="77777777" w:rsidR="00B70C79" w:rsidRPr="007C1D8D" w:rsidRDefault="00B70C79" w:rsidP="00B70C79">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In addition, NR-V2X module is not expected to transmit NR-V2X S-SSB because the NR-V2X module is synchronized to LTE-V2X module. No NR-V2X S-SSB transmission is especially necessary for TDM case. There might be one possible scenario where NR-V2X module may send NR-V2X S-SSB, which is synchronized to LTE-V2X timing used by LTE-V2X module. This may help, if any, NR-V2X only UE also to follow the LTE-V2X timing. However, there is an issue of what information NR-V2X S-SSB should carry in this case. LTE-V2X S-SSB does not give any information on e.g. SLSSID, inCoverage and TDD configuration for NR-V2X S-SSB. So our preference is not to send NR-V2X S-SSB for in-device coexistence operation.</w:t>
      </w:r>
    </w:p>
    <w:p w14:paraId="1B50D811" w14:textId="5D0F0343" w:rsidR="00B70C79" w:rsidRPr="00611BF4" w:rsidRDefault="00B70C79" w:rsidP="00B70C79">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Pr>
          <w:rFonts w:ascii="Calibri" w:eastAsiaTheme="minorEastAsia" w:hAnsi="Calibri" w:cs="Calibri"/>
          <w:b/>
          <w:i/>
          <w:sz w:val="22"/>
        </w:rPr>
        <w:t xml:space="preserve"> 2</w:t>
      </w:r>
      <w:r w:rsidRPr="00611BF4">
        <w:rPr>
          <w:rFonts w:ascii="Calibri" w:eastAsiaTheme="minorEastAsia" w:hAnsi="Calibri" w:cs="Calibri"/>
          <w:b/>
          <w:i/>
          <w:sz w:val="22"/>
        </w:rPr>
        <w:t>:</w:t>
      </w:r>
      <w:r w:rsidRPr="00611BF4">
        <w:rPr>
          <w:rFonts w:ascii="Calibri" w:eastAsiaTheme="minorEastAsia" w:hAnsi="Calibri" w:cs="Calibri"/>
          <w:i/>
          <w:sz w:val="22"/>
        </w:rPr>
        <w:t xml:space="preserve"> </w:t>
      </w:r>
      <w:r>
        <w:rPr>
          <w:rFonts w:ascii="Calibri" w:eastAsiaTheme="minorEastAsia" w:hAnsi="Calibri" w:cs="Calibri"/>
          <w:i/>
          <w:sz w:val="22"/>
        </w:rPr>
        <w:t xml:space="preserve">When </w:t>
      </w:r>
      <w:r w:rsidR="00D02D37">
        <w:rPr>
          <w:rFonts w:ascii="Calibri" w:eastAsiaTheme="minorEastAsia" w:hAnsi="Calibri" w:cs="Calibri"/>
          <w:i/>
          <w:sz w:val="22"/>
        </w:rPr>
        <w:t xml:space="preserve">a UE is configured to operate </w:t>
      </w:r>
      <w:r>
        <w:rPr>
          <w:rFonts w:ascii="Calibri" w:eastAsiaTheme="minorEastAsia" w:hAnsi="Calibri" w:cs="Calibri"/>
          <w:i/>
          <w:sz w:val="22"/>
        </w:rPr>
        <w:t>the in-device coexistence between LTE-V2X and NR-V2X, UE does not transmit NR S-SSB signal. The SL transmission timing and DFN of NR-V2X are derived from those of LTE-V2X. Send LS to RAN2 to define a relevant NR SL synchronization procedure in TS38.331.</w:t>
      </w:r>
    </w:p>
    <w:p w14:paraId="7BE92126" w14:textId="77777777" w:rsidR="007341AD" w:rsidRPr="007341AD" w:rsidRDefault="007341AD" w:rsidP="007341AD">
      <w:pPr>
        <w:pStyle w:val="LGTdoc0"/>
        <w:spacing w:before="100" w:beforeAutospacing="1" w:afterAutospacing="1"/>
        <w:ind w:firstLine="425"/>
        <w:rPr>
          <w:rFonts w:ascii="Calibri" w:hAnsi="Calibri"/>
          <w:szCs w:val="22"/>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07AABC52" w14:textId="00108529" w:rsidR="007341AD" w:rsidRDefault="004A1BBD" w:rsidP="007341AD">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sidR="007341AD">
        <w:rPr>
          <w:rFonts w:ascii="Calibri" w:eastAsiaTheme="minorEastAsia" w:hAnsi="Calibri" w:cs="Calibri"/>
          <w:b/>
          <w:i/>
          <w:sz w:val="22"/>
        </w:rPr>
        <w:t xml:space="preserve"> 1</w:t>
      </w:r>
      <w:r w:rsidRPr="00611BF4">
        <w:rPr>
          <w:rFonts w:ascii="Calibri" w:eastAsiaTheme="minorEastAsia" w:hAnsi="Calibri" w:cs="Calibri"/>
          <w:b/>
          <w:i/>
          <w:sz w:val="22"/>
        </w:rPr>
        <w:t>:</w:t>
      </w:r>
      <w:r w:rsidRPr="00611BF4">
        <w:rPr>
          <w:rFonts w:ascii="Calibri" w:eastAsiaTheme="minorEastAsia" w:hAnsi="Calibri" w:cs="Calibri"/>
          <w:i/>
          <w:sz w:val="22"/>
        </w:rPr>
        <w:t xml:space="preserve"> According to the</w:t>
      </w:r>
      <w:r w:rsidR="007341AD">
        <w:rPr>
          <w:rFonts w:ascii="Calibri" w:eastAsiaTheme="minorEastAsia" w:hAnsi="Calibri" w:cs="Calibri"/>
          <w:i/>
          <w:sz w:val="22"/>
        </w:rPr>
        <w:t xml:space="preserve"> following</w:t>
      </w:r>
      <w:r w:rsidRPr="00611BF4">
        <w:rPr>
          <w:rFonts w:ascii="Calibri" w:eastAsiaTheme="minorEastAsia" w:hAnsi="Calibri" w:cs="Calibri"/>
          <w:i/>
          <w:sz w:val="22"/>
        </w:rPr>
        <w:t xml:space="preserve"> agreement</w:t>
      </w:r>
      <w:r w:rsidR="007341AD">
        <w:rPr>
          <w:rFonts w:ascii="Calibri" w:eastAsiaTheme="minorEastAsia" w:hAnsi="Calibri" w:cs="Calibri"/>
          <w:i/>
          <w:sz w:val="22"/>
        </w:rPr>
        <w:t>s</w:t>
      </w:r>
      <w:r w:rsidRPr="00611BF4">
        <w:rPr>
          <w:rFonts w:ascii="Calibri" w:eastAsiaTheme="minorEastAsia" w:hAnsi="Calibri" w:cs="Calibri"/>
          <w:i/>
          <w:sz w:val="22"/>
        </w:rPr>
        <w:t xml:space="preserve"> made in RAN1</w:t>
      </w:r>
      <w:r w:rsidR="007341AD">
        <w:rPr>
          <w:rFonts w:ascii="Calibri" w:eastAsiaTheme="minorEastAsia" w:hAnsi="Calibri" w:cs="Calibri"/>
          <w:i/>
          <w:sz w:val="22"/>
        </w:rPr>
        <w:t xml:space="preserve"> </w:t>
      </w:r>
      <w:r w:rsidRPr="00611BF4">
        <w:rPr>
          <w:rFonts w:ascii="Calibri" w:eastAsiaTheme="minorEastAsia" w:hAnsi="Calibri" w:cs="Calibri"/>
          <w:i/>
          <w:sz w:val="22"/>
        </w:rPr>
        <w:t xml:space="preserve">#1901 adhoc </w:t>
      </w:r>
      <w:r w:rsidR="007341AD">
        <w:rPr>
          <w:rFonts w:ascii="Calibri" w:eastAsiaTheme="minorEastAsia" w:hAnsi="Calibri" w:cs="Calibri"/>
          <w:i/>
          <w:sz w:val="22"/>
        </w:rPr>
        <w:t>and RAN1 #96 meeting</w:t>
      </w:r>
      <w:r w:rsidRPr="00611BF4">
        <w:rPr>
          <w:rFonts w:ascii="Calibri" w:eastAsiaTheme="minorEastAsia" w:hAnsi="Calibri" w:cs="Calibri"/>
          <w:i/>
          <w:sz w:val="22"/>
        </w:rPr>
        <w:t xml:space="preserve">, the following TP </w:t>
      </w:r>
      <w:r w:rsidR="007341AD">
        <w:rPr>
          <w:rFonts w:ascii="Calibri" w:eastAsiaTheme="minorEastAsia" w:hAnsi="Calibri" w:cs="Calibri"/>
          <w:i/>
          <w:sz w:val="22"/>
        </w:rPr>
        <w:t xml:space="preserve">regarding the in-device coexistence operation </w:t>
      </w:r>
      <w:r w:rsidRPr="00611BF4">
        <w:rPr>
          <w:rFonts w:ascii="Calibri" w:eastAsiaTheme="minorEastAsia" w:hAnsi="Calibri" w:cs="Calibri"/>
          <w:i/>
          <w:sz w:val="22"/>
        </w:rPr>
        <w:t>is included in TS38.213.</w:t>
      </w:r>
    </w:p>
    <w:p w14:paraId="7FC344B9" w14:textId="77777777" w:rsidR="007341AD" w:rsidRPr="00737868" w:rsidRDefault="007341AD" w:rsidP="007341AD">
      <w:pPr>
        <w:rPr>
          <w:rFonts w:ascii="Times New Roman" w:hAnsi="Times New Roman"/>
          <w:b/>
          <w:i/>
          <w:lang w:eastAsia="x-none"/>
        </w:rPr>
      </w:pPr>
      <w:r w:rsidRPr="00737868">
        <w:rPr>
          <w:rFonts w:ascii="Times New Roman" w:hAnsi="Times New Roman"/>
          <w:i/>
          <w:highlight w:val="green"/>
          <w:lang w:eastAsia="x-none"/>
        </w:rPr>
        <w:t>Agreements</w:t>
      </w:r>
      <w:r w:rsidRPr="00737868">
        <w:rPr>
          <w:rFonts w:ascii="Times New Roman" w:hAnsi="Times New Roman"/>
          <w:b/>
          <w:i/>
          <w:lang w:eastAsia="x-none"/>
        </w:rPr>
        <w:t>:</w:t>
      </w:r>
    </w:p>
    <w:p w14:paraId="01306F83" w14:textId="77777777" w:rsidR="007341AD" w:rsidRPr="00737868" w:rsidRDefault="007341AD" w:rsidP="007341AD">
      <w:pPr>
        <w:pStyle w:val="af4"/>
        <w:widowControl/>
        <w:numPr>
          <w:ilvl w:val="0"/>
          <w:numId w:val="32"/>
        </w:numPr>
        <w:wordWrap/>
        <w:autoSpaceDE/>
        <w:autoSpaceDN/>
        <w:spacing w:before="0" w:after="0" w:line="240" w:lineRule="auto"/>
        <w:ind w:leftChars="0"/>
        <w:contextualSpacing/>
        <w:jc w:val="left"/>
        <w:rPr>
          <w:rFonts w:ascii="Times New Roman" w:hAnsi="Times New Roman"/>
          <w:i/>
          <w:color w:val="000000"/>
          <w:szCs w:val="20"/>
        </w:rPr>
      </w:pPr>
      <w:r w:rsidRPr="00415924">
        <w:rPr>
          <w:rFonts w:ascii="Times New Roman" w:hAnsi="Times New Roman"/>
          <w:i/>
          <w:color w:val="000000"/>
          <w:szCs w:val="20"/>
          <w:highlight w:val="yellow"/>
        </w:rPr>
        <w:t>For TDM solutions for in-device coexistence between LTE and NR V2X</w:t>
      </w:r>
      <w:r w:rsidRPr="00737868">
        <w:rPr>
          <w:rFonts w:ascii="Times New Roman" w:hAnsi="Times New Roman"/>
          <w:i/>
          <w:color w:val="000000"/>
          <w:szCs w:val="20"/>
        </w:rPr>
        <w:t>:</w:t>
      </w:r>
    </w:p>
    <w:p w14:paraId="3A32A345" w14:textId="77777777" w:rsidR="007341AD" w:rsidRPr="00737868" w:rsidRDefault="007341AD" w:rsidP="007341AD">
      <w:pPr>
        <w:pStyle w:val="af4"/>
        <w:widowControl/>
        <w:numPr>
          <w:ilvl w:val="1"/>
          <w:numId w:val="32"/>
        </w:numPr>
        <w:wordWrap/>
        <w:autoSpaceDE/>
        <w:autoSpaceDN/>
        <w:spacing w:before="0" w:after="0" w:line="240" w:lineRule="auto"/>
        <w:ind w:leftChars="0"/>
        <w:contextualSpacing/>
        <w:jc w:val="left"/>
        <w:rPr>
          <w:rFonts w:ascii="Times New Roman" w:hAnsi="Times New Roman"/>
          <w:i/>
          <w:color w:val="000000"/>
          <w:szCs w:val="20"/>
        </w:rPr>
      </w:pPr>
      <w:r w:rsidRPr="00737868">
        <w:rPr>
          <w:rFonts w:ascii="Times New Roman" w:hAnsi="Times New Roman"/>
          <w:i/>
          <w:color w:val="000000"/>
          <w:szCs w:val="20"/>
        </w:rPr>
        <w:t>Time Alignment</w:t>
      </w:r>
    </w:p>
    <w:p w14:paraId="43AE6E20" w14:textId="77777777" w:rsidR="007341AD" w:rsidRPr="00737868" w:rsidRDefault="007341AD" w:rsidP="007341AD">
      <w:pPr>
        <w:pStyle w:val="af4"/>
        <w:widowControl/>
        <w:numPr>
          <w:ilvl w:val="2"/>
          <w:numId w:val="32"/>
        </w:numPr>
        <w:wordWrap/>
        <w:autoSpaceDE/>
        <w:autoSpaceDN/>
        <w:spacing w:before="0" w:after="0" w:line="240" w:lineRule="auto"/>
        <w:ind w:leftChars="0"/>
        <w:contextualSpacing/>
        <w:jc w:val="left"/>
        <w:rPr>
          <w:rFonts w:ascii="Times New Roman" w:eastAsia="SimSun" w:hAnsi="Times New Roman"/>
          <w:i/>
          <w:color w:val="000000"/>
          <w:szCs w:val="20"/>
          <w:lang w:eastAsia="en-US"/>
        </w:rPr>
      </w:pPr>
      <w:r w:rsidRPr="00415924">
        <w:rPr>
          <w:rFonts w:ascii="Times New Roman" w:eastAsia="DengXian" w:hAnsi="Times New Roman"/>
          <w:i/>
          <w:szCs w:val="20"/>
          <w:highlight w:val="yellow"/>
          <w:lang w:eastAsia="zh-CN"/>
        </w:rPr>
        <w:t>Subframe boundary alignment is required between LTE and NR V2X sidelinks</w:t>
      </w:r>
    </w:p>
    <w:p w14:paraId="15C3A1B0" w14:textId="77777777" w:rsidR="007341AD" w:rsidRPr="00506057" w:rsidRDefault="007341AD" w:rsidP="007341AD">
      <w:pPr>
        <w:pStyle w:val="af4"/>
        <w:widowControl/>
        <w:numPr>
          <w:ilvl w:val="2"/>
          <w:numId w:val="32"/>
        </w:numPr>
        <w:wordWrap/>
        <w:autoSpaceDE/>
        <w:autoSpaceDN/>
        <w:spacing w:before="0" w:after="0" w:line="240" w:lineRule="auto"/>
        <w:ind w:leftChars="0"/>
        <w:contextualSpacing/>
        <w:jc w:val="left"/>
        <w:rPr>
          <w:rFonts w:ascii="Times New Roman" w:hAnsi="Times New Roman"/>
          <w:i/>
          <w:color w:val="000000"/>
          <w:szCs w:val="20"/>
        </w:rPr>
      </w:pPr>
      <w:r w:rsidRPr="00737868">
        <w:rPr>
          <w:rFonts w:ascii="Times New Roman" w:eastAsia="DengXian" w:hAnsi="Times New Roman"/>
          <w:i/>
          <w:szCs w:val="20"/>
          <w:lang w:eastAsia="zh-CN"/>
        </w:rPr>
        <w:t>Both LTE and NR V2X sidelinks are aware of the time resource index (e.g., DFN for LTE) in both carriers</w:t>
      </w:r>
    </w:p>
    <w:p w14:paraId="0D1E8B2C" w14:textId="77777777" w:rsidR="007341AD" w:rsidRDefault="007341AD" w:rsidP="007341AD">
      <w:pPr>
        <w:rPr>
          <w:color w:val="1F497D"/>
          <w:lang w:val="en-GB"/>
        </w:rPr>
      </w:pPr>
    </w:p>
    <w:p w14:paraId="67CDCD3B" w14:textId="77777777" w:rsidR="007341AD" w:rsidRDefault="007341AD" w:rsidP="007341AD">
      <w:pPr>
        <w:wordWrap/>
        <w:autoSpaceDE/>
        <w:jc w:val="left"/>
        <w:rPr>
          <w:rFonts w:ascii="Times" w:hAnsi="Times" w:cs="Times"/>
          <w:b/>
          <w:bCs/>
          <w:i/>
          <w:iCs/>
          <w:lang w:val="en-GB" w:eastAsia="x-none"/>
        </w:rPr>
      </w:pPr>
      <w:r>
        <w:rPr>
          <w:rFonts w:ascii="Times" w:hAnsi="Times" w:cs="Times"/>
          <w:i/>
          <w:iCs/>
          <w:highlight w:val="green"/>
          <w:lang w:val="en-GB" w:eastAsia="x-none"/>
        </w:rPr>
        <w:lastRenderedPageBreak/>
        <w:t>Agreements</w:t>
      </w:r>
      <w:r>
        <w:rPr>
          <w:rFonts w:ascii="Times" w:hAnsi="Times" w:cs="Times"/>
          <w:b/>
          <w:bCs/>
          <w:i/>
          <w:iCs/>
          <w:lang w:val="en-GB" w:eastAsia="x-none"/>
        </w:rPr>
        <w:t>:</w:t>
      </w:r>
    </w:p>
    <w:p w14:paraId="5D473DC1" w14:textId="77777777" w:rsidR="007341AD" w:rsidRDefault="007341AD" w:rsidP="007341AD">
      <w:pPr>
        <w:numPr>
          <w:ilvl w:val="0"/>
          <w:numId w:val="35"/>
        </w:numPr>
        <w:wordWrap/>
        <w:autoSpaceDE/>
        <w:jc w:val="left"/>
        <w:rPr>
          <w:rFonts w:ascii="Times" w:hAnsi="Times" w:cs="Times"/>
          <w:i/>
          <w:iCs/>
          <w:lang w:val="en-GB" w:eastAsia="zh-CN"/>
        </w:rPr>
      </w:pPr>
      <w:r>
        <w:rPr>
          <w:rFonts w:ascii="Times" w:hAnsi="Times" w:cs="Times"/>
          <w:i/>
          <w:iCs/>
          <w:lang w:val="en-GB" w:eastAsia="zh-CN"/>
        </w:rPr>
        <w:t>From RAN1 point of view, for both intra-band and inter-band Tx/Tx FDM solutions for in-device coexistence are considered to be feasible, at least if the following conditions are met:</w:t>
      </w:r>
    </w:p>
    <w:p w14:paraId="1118EF7B" w14:textId="77777777" w:rsidR="007341AD" w:rsidRDefault="007341AD" w:rsidP="007341AD">
      <w:pPr>
        <w:numPr>
          <w:ilvl w:val="1"/>
          <w:numId w:val="35"/>
        </w:numPr>
        <w:wordWrap/>
        <w:autoSpaceDE/>
        <w:jc w:val="left"/>
        <w:rPr>
          <w:rFonts w:ascii="Times" w:hAnsi="Times" w:cs="Times"/>
          <w:i/>
          <w:iCs/>
          <w:lang w:val="en-GB" w:eastAsia="zh-CN"/>
        </w:rPr>
      </w:pPr>
      <w:r>
        <w:rPr>
          <w:rFonts w:ascii="Times" w:hAnsi="Times" w:cs="Times"/>
          <w:i/>
          <w:iCs/>
          <w:lang w:val="en-GB" w:eastAsia="zh-CN"/>
        </w:rPr>
        <w:t xml:space="preserve">For the intra-band case for dynamic power sharing, NR and LTE transmissions are fully overlapped in the time domain, i.e., NR transmissions have to span the entire LTE TTI such that the total power across the transmissions is constant. </w:t>
      </w:r>
    </w:p>
    <w:p w14:paraId="04A7F769" w14:textId="77777777" w:rsidR="007341AD" w:rsidRPr="007341AD" w:rsidRDefault="007341AD" w:rsidP="007341AD">
      <w:pPr>
        <w:numPr>
          <w:ilvl w:val="0"/>
          <w:numId w:val="32"/>
        </w:numPr>
        <w:wordWrap/>
        <w:autoSpaceDE/>
        <w:jc w:val="left"/>
        <w:rPr>
          <w:rFonts w:ascii="Times" w:hAnsi="Times" w:cs="Times"/>
          <w:i/>
          <w:iCs/>
          <w:color w:val="000000"/>
          <w:lang w:val="en-GB" w:eastAsia="x-none"/>
        </w:rPr>
      </w:pPr>
      <w:r w:rsidRPr="00415924">
        <w:rPr>
          <w:rFonts w:ascii="Times" w:hAnsi="Times" w:cs="Times"/>
          <w:i/>
          <w:iCs/>
          <w:color w:val="000000"/>
          <w:highlight w:val="yellow"/>
          <w:lang w:val="en-GB" w:eastAsia="x-none"/>
        </w:rPr>
        <w:t>For intra-band and inter-band FDM</w:t>
      </w:r>
      <w:r w:rsidRPr="007341AD">
        <w:rPr>
          <w:rFonts w:ascii="Times" w:hAnsi="Times" w:cs="Times"/>
          <w:i/>
          <w:iCs/>
          <w:color w:val="000000"/>
          <w:lang w:val="en-GB" w:eastAsia="x-none"/>
        </w:rPr>
        <w:t xml:space="preserve"> dynamic power sharing solutions, the following additional conditions apply:</w:t>
      </w:r>
    </w:p>
    <w:p w14:paraId="3ACB33B0" w14:textId="77777777" w:rsidR="007341AD" w:rsidRPr="007341AD" w:rsidRDefault="007341AD" w:rsidP="007341AD">
      <w:pPr>
        <w:numPr>
          <w:ilvl w:val="1"/>
          <w:numId w:val="32"/>
        </w:numPr>
        <w:wordWrap/>
        <w:autoSpaceDE/>
        <w:jc w:val="left"/>
        <w:rPr>
          <w:rFonts w:ascii="Times" w:hAnsi="Times" w:cs="Times"/>
          <w:i/>
          <w:iCs/>
          <w:color w:val="000000"/>
          <w:lang w:val="en-GB" w:eastAsia="x-none"/>
        </w:rPr>
      </w:pPr>
      <w:r w:rsidRPr="00415924">
        <w:rPr>
          <w:rFonts w:ascii="Times" w:hAnsi="Times" w:cs="Times"/>
          <w:i/>
          <w:iCs/>
          <w:highlight w:val="yellow"/>
          <w:lang w:val="en-GB" w:eastAsia="zh-CN"/>
        </w:rPr>
        <w:t>Subframe boundary alignment is required between LTE and NR V2X sidelinks</w:t>
      </w:r>
    </w:p>
    <w:p w14:paraId="208AB7CA" w14:textId="77777777" w:rsidR="007341AD" w:rsidRDefault="007341AD" w:rsidP="007341AD">
      <w:pPr>
        <w:numPr>
          <w:ilvl w:val="1"/>
          <w:numId w:val="32"/>
        </w:numPr>
        <w:wordWrap/>
        <w:autoSpaceDE/>
        <w:jc w:val="left"/>
        <w:rPr>
          <w:rFonts w:ascii="Times" w:hAnsi="Times" w:cs="Times"/>
          <w:i/>
          <w:iCs/>
          <w:color w:val="000000"/>
          <w:lang w:val="en-GB" w:eastAsia="x-none"/>
        </w:rPr>
      </w:pPr>
      <w:r>
        <w:rPr>
          <w:rFonts w:ascii="Times" w:hAnsi="Times" w:cs="Times"/>
          <w:i/>
          <w:iCs/>
          <w:lang w:val="en-GB" w:eastAsia="zh-CN"/>
        </w:rPr>
        <w:t>Both LTE and NR V2X sidelinks are aware of the time resource index (e.g., DFN for LTE) in both carriers</w:t>
      </w:r>
    </w:p>
    <w:p w14:paraId="04B9737D" w14:textId="77777777" w:rsidR="007341AD" w:rsidRDefault="007341AD" w:rsidP="007341AD">
      <w:pPr>
        <w:numPr>
          <w:ilvl w:val="0"/>
          <w:numId w:val="35"/>
        </w:numPr>
        <w:wordWrap/>
        <w:autoSpaceDE/>
        <w:jc w:val="left"/>
        <w:rPr>
          <w:rFonts w:ascii="Times" w:hAnsi="Times" w:cs="Times"/>
          <w:i/>
          <w:iCs/>
          <w:color w:val="000000"/>
          <w:lang w:val="en-GB" w:eastAsia="x-none"/>
        </w:rPr>
      </w:pPr>
      <w:r>
        <w:rPr>
          <w:rFonts w:ascii="Times" w:hAnsi="Times" w:cs="Times"/>
          <w:i/>
          <w:iCs/>
          <w:lang w:val="en-GB" w:eastAsia="zh-CN"/>
        </w:rPr>
        <w:t xml:space="preserve">For purposes of dynamic power sharing between LTE and NR Tx, </w:t>
      </w:r>
    </w:p>
    <w:p w14:paraId="3FB145DF" w14:textId="4E1821A0" w:rsidR="007341AD" w:rsidRPr="00B70C79" w:rsidRDefault="007341AD" w:rsidP="00B70C79">
      <w:pPr>
        <w:numPr>
          <w:ilvl w:val="1"/>
          <w:numId w:val="35"/>
        </w:numPr>
        <w:wordWrap/>
        <w:autoSpaceDE/>
        <w:jc w:val="left"/>
        <w:rPr>
          <w:rFonts w:ascii="Times" w:hAnsi="Times" w:cs="Times"/>
          <w:i/>
          <w:iCs/>
          <w:color w:val="000000"/>
          <w:lang w:val="en-GB" w:eastAsia="x-none"/>
        </w:rPr>
      </w:pPr>
      <w:r>
        <w:rPr>
          <w:rFonts w:ascii="Times" w:hAnsi="Times" w:cs="Times"/>
          <w:i/>
          <w:iCs/>
          <w:color w:val="000000"/>
          <w:lang w:val="en-GB" w:eastAsia="x-none"/>
        </w:rPr>
        <w:t>High-level principles of prioritization (e.g., BSM is deemed to have a higher priority, etc.) of LTE/NR can be discussed during the WI phase, while it is expected that detailed solutions may be left for implementation</w:t>
      </w:r>
    </w:p>
    <w:p w14:paraId="7848C5E4" w14:textId="0ECEDEFB" w:rsidR="004A1BBD" w:rsidRPr="00506057" w:rsidRDefault="004A1BBD" w:rsidP="004A1BBD">
      <w:pPr>
        <w:wordWrap/>
        <w:autoSpaceDE/>
        <w:autoSpaceDN/>
        <w:contextualSpacing/>
        <w:jc w:val="left"/>
        <w:rPr>
          <w:rFonts w:ascii="Times New Roman" w:hAnsi="Times New Roman"/>
          <w:i/>
          <w:color w:val="000000"/>
        </w:rPr>
      </w:pPr>
    </w:p>
    <w:tbl>
      <w:tblPr>
        <w:tblStyle w:val="aa"/>
        <w:tblW w:w="0" w:type="auto"/>
        <w:tblLook w:val="04A0" w:firstRow="1" w:lastRow="0" w:firstColumn="1" w:lastColumn="0" w:noHBand="0" w:noVBand="1"/>
      </w:tblPr>
      <w:tblGrid>
        <w:gridCol w:w="9362"/>
      </w:tblGrid>
      <w:tr w:rsidR="004A1BBD" w14:paraId="005B84F1" w14:textId="77777777" w:rsidTr="00A7275E">
        <w:trPr>
          <w:trHeight w:val="1589"/>
        </w:trPr>
        <w:tc>
          <w:tcPr>
            <w:tcW w:w="9362" w:type="dxa"/>
          </w:tcPr>
          <w:p w14:paraId="496F8AAF" w14:textId="77777777" w:rsidR="004F3632" w:rsidRPr="007F4B4B" w:rsidRDefault="004F3632" w:rsidP="004F3632">
            <w:pPr>
              <w:keepNext/>
              <w:keepLines/>
              <w:widowControl/>
              <w:wordWrap/>
              <w:autoSpaceDE/>
              <w:autoSpaceDN/>
              <w:spacing w:after="180"/>
              <w:jc w:val="left"/>
              <w:outlineLvl w:val="1"/>
              <w:rPr>
                <w:rFonts w:ascii="Arial" w:eastAsia="DengXian" w:hAnsi="Arial"/>
                <w:color w:val="C00000"/>
                <w:sz w:val="32"/>
              </w:rPr>
            </w:pPr>
            <w:r w:rsidRPr="007F4B4B">
              <w:rPr>
                <w:rFonts w:ascii="Arial" w:eastAsia="DengXian" w:hAnsi="Arial" w:cs="Times New Roman"/>
                <w:color w:val="C00000"/>
                <w:sz w:val="32"/>
                <w:lang w:val="en-GB" w:eastAsia="en-US"/>
              </w:rPr>
              <w:t>16</w:t>
            </w:r>
            <w:r w:rsidRPr="007F4B4B">
              <w:rPr>
                <w:rFonts w:ascii="Arial" w:eastAsia="DengXian" w:hAnsi="Arial"/>
                <w:color w:val="C00000"/>
                <w:sz w:val="32"/>
              </w:rPr>
              <w:t>.2.X</w:t>
            </w:r>
            <w:r w:rsidRPr="007F4B4B">
              <w:rPr>
                <w:rFonts w:ascii="Arial" w:eastAsia="DengXian" w:hAnsi="Arial"/>
                <w:color w:val="C00000"/>
                <w:sz w:val="32"/>
              </w:rPr>
              <w:tab/>
              <w:t>Operation for in-device coexistence</w:t>
            </w:r>
          </w:p>
          <w:p w14:paraId="55CEFA0C" w14:textId="5728466C" w:rsidR="004A1BBD" w:rsidRPr="00F52769" w:rsidRDefault="004F3632" w:rsidP="004F3632">
            <w:pPr>
              <w:wordWrap/>
              <w:autoSpaceDE/>
              <w:autoSpaceDN/>
              <w:contextualSpacing/>
              <w:jc w:val="left"/>
              <w:rPr>
                <w:rFonts w:ascii="Times New Roman" w:hAnsi="Times New Roman"/>
                <w:i/>
                <w:color w:val="000000"/>
              </w:rPr>
            </w:pPr>
            <w:r w:rsidRPr="007F4B4B">
              <w:rPr>
                <w:rFonts w:ascii="Times New Roman" w:eastAsia="SimSun" w:hAnsi="Times New Roman" w:cs="Times New Roman"/>
                <w:color w:val="C00000"/>
                <w:lang w:eastAsia="zh-CN"/>
              </w:rPr>
              <w:t xml:space="preserve">If a UE </w:t>
            </w:r>
            <w:r w:rsidRPr="007F4B4B">
              <w:rPr>
                <w:rFonts w:ascii="Times New Roman" w:hAnsi="Times New Roman" w:cs="Times New Roman"/>
                <w:bCs/>
                <w:color w:val="C00000"/>
                <w:kern w:val="32"/>
                <w:lang w:eastAsia="zh-CN"/>
              </w:rPr>
              <w:t>is configured to operate in in-device coexistence mode between a first channel/signal using</w:t>
            </w:r>
            <w:r w:rsidRPr="007F4B4B">
              <w:rPr>
                <w:rFonts w:ascii="Times New Roman" w:hAnsi="Times New Roman" w:cs="Times New Roman"/>
                <w:color w:val="C00000"/>
              </w:rPr>
              <w:t xml:space="preserve"> E-UTRA radio access</w:t>
            </w:r>
            <w:r w:rsidRPr="007F4B4B">
              <w:rPr>
                <w:rFonts w:ascii="Times New Roman" w:hAnsi="Times New Roman" w:cs="Times New Roman"/>
                <w:bCs/>
                <w:color w:val="C00000"/>
                <w:kern w:val="32"/>
                <w:lang w:eastAsia="zh-CN"/>
              </w:rPr>
              <w:t xml:space="preserve"> and a second channel/signal using NR radio access, </w:t>
            </w:r>
            <w:r w:rsidRPr="007F4B4B">
              <w:rPr>
                <w:rFonts w:ascii="Times New Roman" w:hAnsi="Times New Roman" w:cs="Times New Roman"/>
                <w:color w:val="C00000"/>
              </w:rPr>
              <w:t>the UE transmits or receives the channel/signal so that the subframe boundary of the first channel/signal using E-UTRA radio access is aligned with the subframe boundary of the second channel/signal using NR radio access.</w:t>
            </w:r>
          </w:p>
        </w:tc>
      </w:tr>
    </w:tbl>
    <w:p w14:paraId="5207B837" w14:textId="77777777" w:rsidR="004A1BBD" w:rsidRDefault="004A1BBD" w:rsidP="004A1BBD">
      <w:pPr>
        <w:wordWrap/>
        <w:autoSpaceDE/>
        <w:autoSpaceDN/>
        <w:contextualSpacing/>
        <w:jc w:val="left"/>
        <w:rPr>
          <w:rFonts w:ascii="Times New Roman" w:hAnsi="Times New Roman"/>
          <w:i/>
          <w:color w:val="000000"/>
        </w:rPr>
      </w:pPr>
    </w:p>
    <w:p w14:paraId="4A56C1D5" w14:textId="77777777" w:rsidR="00D02D37" w:rsidRPr="00611BF4" w:rsidRDefault="00D02D37" w:rsidP="00D02D37">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Pr>
          <w:rFonts w:ascii="Calibri" w:eastAsiaTheme="minorEastAsia" w:hAnsi="Calibri" w:cs="Calibri"/>
          <w:b/>
          <w:i/>
          <w:sz w:val="22"/>
        </w:rPr>
        <w:t xml:space="preserve"> 2</w:t>
      </w:r>
      <w:r w:rsidRPr="00611BF4">
        <w:rPr>
          <w:rFonts w:ascii="Calibri" w:eastAsiaTheme="minorEastAsia" w:hAnsi="Calibri" w:cs="Calibri"/>
          <w:b/>
          <w:i/>
          <w:sz w:val="22"/>
        </w:rPr>
        <w:t>:</w:t>
      </w:r>
      <w:r w:rsidRPr="00611BF4">
        <w:rPr>
          <w:rFonts w:ascii="Calibri" w:eastAsiaTheme="minorEastAsia" w:hAnsi="Calibri" w:cs="Calibri"/>
          <w:i/>
          <w:sz w:val="22"/>
        </w:rPr>
        <w:t xml:space="preserve"> </w:t>
      </w:r>
      <w:r>
        <w:rPr>
          <w:rFonts w:ascii="Calibri" w:eastAsiaTheme="minorEastAsia" w:hAnsi="Calibri" w:cs="Calibri"/>
          <w:i/>
          <w:sz w:val="22"/>
        </w:rPr>
        <w:t>When a UE is configured to operate the in-device coexistence between LTE-V2X and NR-V2X, UE does not transmit NR S-SSB signal. The SL transmission timing and DFN of NR-V2X are derived from those of LTE-V2X. Send LS to RAN2 to define a relevant NR SL synchronization procedure in TS38.331.</w:t>
      </w:r>
    </w:p>
    <w:p w14:paraId="3E5C016E" w14:textId="72232BDD" w:rsidR="00D02D37" w:rsidRPr="00611BF4" w:rsidRDefault="00D02D37" w:rsidP="00D02D37">
      <w:pPr>
        <w:spacing w:before="100" w:beforeAutospacing="1" w:after="120" w:line="264" w:lineRule="auto"/>
        <w:rPr>
          <w:rFonts w:ascii="Calibri" w:eastAsiaTheme="minorEastAsia" w:hAnsi="Calibri" w:cs="Calibri"/>
          <w:i/>
          <w:sz w:val="22"/>
        </w:rPr>
      </w:pPr>
      <w:r>
        <w:rPr>
          <w:rFonts w:ascii="Calibri" w:eastAsiaTheme="minorEastAsia" w:hAnsi="Calibri" w:cs="Calibri"/>
          <w:i/>
          <w:sz w:val="22"/>
        </w:rPr>
        <w:t>.</w:t>
      </w:r>
    </w:p>
    <w:p w14:paraId="7BD57D6C" w14:textId="77777777" w:rsidR="00AF1D9E" w:rsidRPr="00D02D37" w:rsidRDefault="00AF1D9E" w:rsidP="004A1BBD">
      <w:pPr>
        <w:spacing w:before="100" w:beforeAutospacing="1" w:after="120" w:line="264" w:lineRule="auto"/>
        <w:rPr>
          <w:rFonts w:ascii="Calibri" w:eastAsiaTheme="minorEastAsia" w:hAnsi="Calibri" w:cs="Calibri"/>
          <w:i/>
          <w:sz w:val="22"/>
        </w:rPr>
      </w:pPr>
    </w:p>
    <w:sectPr w:rsidR="00AF1D9E" w:rsidRPr="00D02D37"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FEC33" w14:textId="77777777" w:rsidR="00243EA2" w:rsidRDefault="00243EA2">
      <w:r>
        <w:separator/>
      </w:r>
    </w:p>
  </w:endnote>
  <w:endnote w:type="continuationSeparator" w:id="0">
    <w:p w14:paraId="30590A90" w14:textId="77777777" w:rsidR="00243EA2" w:rsidRDefault="0024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4E191B" w:rsidRDefault="004E191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4E191B" w:rsidRDefault="004E191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4E191B" w:rsidRDefault="004E191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96699">
      <w:rPr>
        <w:rStyle w:val="a8"/>
        <w:noProof/>
      </w:rPr>
      <w:t>3</w:t>
    </w:r>
    <w:r>
      <w:rPr>
        <w:rStyle w:val="a8"/>
      </w:rPr>
      <w:fldChar w:fldCharType="end"/>
    </w:r>
  </w:p>
  <w:p w14:paraId="04B2A96B" w14:textId="77777777" w:rsidR="004E191B" w:rsidRDefault="004E191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5B761" w14:textId="77777777" w:rsidR="00243EA2" w:rsidRDefault="00243EA2">
      <w:r>
        <w:separator/>
      </w:r>
    </w:p>
  </w:footnote>
  <w:footnote w:type="continuationSeparator" w:id="0">
    <w:p w14:paraId="423977DC" w14:textId="77777777" w:rsidR="00243EA2" w:rsidRDefault="00243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C0AF8"/>
    <w:multiLevelType w:val="hybridMultilevel"/>
    <w:tmpl w:val="1EFE7E68"/>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D1082"/>
    <w:multiLevelType w:val="hybridMultilevel"/>
    <w:tmpl w:val="54CA2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AB692C"/>
    <w:multiLevelType w:val="hybridMultilevel"/>
    <w:tmpl w:val="B57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9C0230"/>
    <w:multiLevelType w:val="hybridMultilevel"/>
    <w:tmpl w:val="1FA451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9FB3872"/>
    <w:multiLevelType w:val="hybridMultilevel"/>
    <w:tmpl w:val="64242B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9625BE"/>
    <w:multiLevelType w:val="hybridMultilevel"/>
    <w:tmpl w:val="024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8027F"/>
    <w:multiLevelType w:val="hybridMultilevel"/>
    <w:tmpl w:val="1F7AECC0"/>
    <w:lvl w:ilvl="0" w:tplc="01B605D0">
      <w:start w:val="1"/>
      <w:numFmt w:val="bullet"/>
      <w:lvlText w:val=""/>
      <w:lvlJc w:val="left"/>
      <w:pPr>
        <w:ind w:left="1352" w:hanging="360"/>
      </w:pPr>
      <w:rPr>
        <w:rFonts w:ascii="Symbol" w:hAnsi="Symbol" w:hint="default"/>
        <w:i/>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723F7A"/>
    <w:multiLevelType w:val="hybridMultilevel"/>
    <w:tmpl w:val="5B9871AC"/>
    <w:lvl w:ilvl="0" w:tplc="C0645D78">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6"/>
  </w:num>
  <w:num w:numId="3">
    <w:abstractNumId w:val="21"/>
  </w:num>
  <w:num w:numId="4">
    <w:abstractNumId w:val="32"/>
  </w:num>
  <w:num w:numId="5">
    <w:abstractNumId w:val="34"/>
  </w:num>
  <w:num w:numId="6">
    <w:abstractNumId w:val="13"/>
  </w:num>
  <w:num w:numId="7">
    <w:abstractNumId w:val="23"/>
  </w:num>
  <w:num w:numId="8">
    <w:abstractNumId w:val="10"/>
  </w:num>
  <w:num w:numId="9">
    <w:abstractNumId w:val="11"/>
  </w:num>
  <w:num w:numId="10">
    <w:abstractNumId w:val="4"/>
  </w:num>
  <w:num w:numId="11">
    <w:abstractNumId w:val="26"/>
  </w:num>
  <w:num w:numId="12">
    <w:abstractNumId w:val="30"/>
  </w:num>
  <w:num w:numId="13">
    <w:abstractNumId w:val="31"/>
  </w:num>
  <w:num w:numId="14">
    <w:abstractNumId w:val="33"/>
  </w:num>
  <w:num w:numId="15">
    <w:abstractNumId w:val="18"/>
  </w:num>
  <w:num w:numId="16">
    <w:abstractNumId w:val="5"/>
  </w:num>
  <w:num w:numId="17">
    <w:abstractNumId w:val="25"/>
  </w:num>
  <w:num w:numId="18">
    <w:abstractNumId w:val="24"/>
  </w:num>
  <w:num w:numId="19">
    <w:abstractNumId w:val="20"/>
  </w:num>
  <w:num w:numId="20">
    <w:abstractNumId w:val="7"/>
  </w:num>
  <w:num w:numId="21">
    <w:abstractNumId w:val="0"/>
  </w:num>
  <w:num w:numId="22">
    <w:abstractNumId w:val="14"/>
  </w:num>
  <w:num w:numId="23">
    <w:abstractNumId w:val="16"/>
  </w:num>
  <w:num w:numId="24">
    <w:abstractNumId w:val="22"/>
  </w:num>
  <w:num w:numId="25">
    <w:abstractNumId w:val="17"/>
  </w:num>
  <w:num w:numId="26">
    <w:abstractNumId w:val="28"/>
  </w:num>
  <w:num w:numId="27">
    <w:abstractNumId w:val="29"/>
  </w:num>
  <w:num w:numId="28">
    <w:abstractNumId w:val="2"/>
  </w:num>
  <w:num w:numId="29">
    <w:abstractNumId w:val="9"/>
  </w:num>
  <w:num w:numId="30">
    <w:abstractNumId w:val="3"/>
  </w:num>
  <w:num w:numId="31">
    <w:abstractNumId w:val="27"/>
  </w:num>
  <w:num w:numId="32">
    <w:abstractNumId w:val="12"/>
  </w:num>
  <w:num w:numId="33">
    <w:abstractNumId w:val="15"/>
  </w:num>
  <w:num w:numId="34">
    <w:abstractNumId w:val="1"/>
  </w:num>
  <w:num w:numId="3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58E"/>
    <w:rsid w:val="00012850"/>
    <w:rsid w:val="00012E36"/>
    <w:rsid w:val="00012FDD"/>
    <w:rsid w:val="00013055"/>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05F"/>
    <w:rsid w:val="0002413F"/>
    <w:rsid w:val="000246F3"/>
    <w:rsid w:val="00025124"/>
    <w:rsid w:val="00025449"/>
    <w:rsid w:val="0002587A"/>
    <w:rsid w:val="00025D9A"/>
    <w:rsid w:val="00025EF9"/>
    <w:rsid w:val="0002606E"/>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43C"/>
    <w:rsid w:val="000337CB"/>
    <w:rsid w:val="00034885"/>
    <w:rsid w:val="00034C47"/>
    <w:rsid w:val="00034F4A"/>
    <w:rsid w:val="0003500C"/>
    <w:rsid w:val="0003506B"/>
    <w:rsid w:val="00035512"/>
    <w:rsid w:val="000358DA"/>
    <w:rsid w:val="00035927"/>
    <w:rsid w:val="00035F3C"/>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D58"/>
    <w:rsid w:val="00050E9E"/>
    <w:rsid w:val="00050EF0"/>
    <w:rsid w:val="0005153A"/>
    <w:rsid w:val="0005178B"/>
    <w:rsid w:val="00052527"/>
    <w:rsid w:val="00052B0E"/>
    <w:rsid w:val="00052B49"/>
    <w:rsid w:val="00052C28"/>
    <w:rsid w:val="0005325C"/>
    <w:rsid w:val="000534FF"/>
    <w:rsid w:val="0005351A"/>
    <w:rsid w:val="00054148"/>
    <w:rsid w:val="000542DE"/>
    <w:rsid w:val="00054401"/>
    <w:rsid w:val="00054AEE"/>
    <w:rsid w:val="00054B86"/>
    <w:rsid w:val="00054C16"/>
    <w:rsid w:val="00055007"/>
    <w:rsid w:val="0005539A"/>
    <w:rsid w:val="00055A99"/>
    <w:rsid w:val="00055D6E"/>
    <w:rsid w:val="0005629B"/>
    <w:rsid w:val="0005633E"/>
    <w:rsid w:val="0005684A"/>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2EB"/>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C62"/>
    <w:rsid w:val="00080D26"/>
    <w:rsid w:val="000812E5"/>
    <w:rsid w:val="0008142A"/>
    <w:rsid w:val="00081A6D"/>
    <w:rsid w:val="00081EB0"/>
    <w:rsid w:val="00081FEC"/>
    <w:rsid w:val="00082413"/>
    <w:rsid w:val="00082434"/>
    <w:rsid w:val="000825EC"/>
    <w:rsid w:val="00082B84"/>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D1"/>
    <w:rsid w:val="000C7D13"/>
    <w:rsid w:val="000C7E20"/>
    <w:rsid w:val="000C7E3A"/>
    <w:rsid w:val="000D0135"/>
    <w:rsid w:val="000D01D9"/>
    <w:rsid w:val="000D02CB"/>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507"/>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778"/>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C32"/>
    <w:rsid w:val="000F5726"/>
    <w:rsid w:val="000F5CF0"/>
    <w:rsid w:val="000F6048"/>
    <w:rsid w:val="000F62A9"/>
    <w:rsid w:val="000F63D8"/>
    <w:rsid w:val="000F6525"/>
    <w:rsid w:val="000F764B"/>
    <w:rsid w:val="000F7B1A"/>
    <w:rsid w:val="000F7B97"/>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44D"/>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2EC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3D3"/>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A96"/>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5CE"/>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900"/>
    <w:rsid w:val="00154AF3"/>
    <w:rsid w:val="00154C93"/>
    <w:rsid w:val="0015524F"/>
    <w:rsid w:val="00155287"/>
    <w:rsid w:val="0015541E"/>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772"/>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B62"/>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57F"/>
    <w:rsid w:val="001B56BF"/>
    <w:rsid w:val="001B62D1"/>
    <w:rsid w:val="001B63E8"/>
    <w:rsid w:val="001B64D3"/>
    <w:rsid w:val="001B69D3"/>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BC8"/>
    <w:rsid w:val="001E0C26"/>
    <w:rsid w:val="001E0CEC"/>
    <w:rsid w:val="001E128B"/>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8A2"/>
    <w:rsid w:val="00222F9D"/>
    <w:rsid w:val="002230B5"/>
    <w:rsid w:val="00223EE5"/>
    <w:rsid w:val="0022428F"/>
    <w:rsid w:val="00224301"/>
    <w:rsid w:val="00224333"/>
    <w:rsid w:val="00224FBC"/>
    <w:rsid w:val="00225032"/>
    <w:rsid w:val="002250D9"/>
    <w:rsid w:val="0022562C"/>
    <w:rsid w:val="00225D35"/>
    <w:rsid w:val="00225F5F"/>
    <w:rsid w:val="00226250"/>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52"/>
    <w:rsid w:val="00234ABE"/>
    <w:rsid w:val="00234D3F"/>
    <w:rsid w:val="00234DA5"/>
    <w:rsid w:val="0023543C"/>
    <w:rsid w:val="0023563B"/>
    <w:rsid w:val="00235C2A"/>
    <w:rsid w:val="00235CF4"/>
    <w:rsid w:val="00235E0B"/>
    <w:rsid w:val="00235FC9"/>
    <w:rsid w:val="002360B1"/>
    <w:rsid w:val="00236388"/>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1E2"/>
    <w:rsid w:val="0024331B"/>
    <w:rsid w:val="00243850"/>
    <w:rsid w:val="002438E4"/>
    <w:rsid w:val="00243CDC"/>
    <w:rsid w:val="00243EA2"/>
    <w:rsid w:val="00244592"/>
    <w:rsid w:val="00244DD2"/>
    <w:rsid w:val="00244E00"/>
    <w:rsid w:val="0024506D"/>
    <w:rsid w:val="00245EA0"/>
    <w:rsid w:val="00246396"/>
    <w:rsid w:val="00247F15"/>
    <w:rsid w:val="0025043F"/>
    <w:rsid w:val="0025145C"/>
    <w:rsid w:val="0025153F"/>
    <w:rsid w:val="00251914"/>
    <w:rsid w:val="0025224A"/>
    <w:rsid w:val="00253046"/>
    <w:rsid w:val="002531D4"/>
    <w:rsid w:val="002534C1"/>
    <w:rsid w:val="002538B3"/>
    <w:rsid w:val="00253E96"/>
    <w:rsid w:val="00253F76"/>
    <w:rsid w:val="00254630"/>
    <w:rsid w:val="002548AD"/>
    <w:rsid w:val="00254A47"/>
    <w:rsid w:val="00254BAD"/>
    <w:rsid w:val="00254F02"/>
    <w:rsid w:val="00254F33"/>
    <w:rsid w:val="002557AC"/>
    <w:rsid w:val="00255933"/>
    <w:rsid w:val="00256919"/>
    <w:rsid w:val="00256B63"/>
    <w:rsid w:val="00257437"/>
    <w:rsid w:val="00257C03"/>
    <w:rsid w:val="00260455"/>
    <w:rsid w:val="002604B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56FB"/>
    <w:rsid w:val="00276344"/>
    <w:rsid w:val="00276A72"/>
    <w:rsid w:val="002771C2"/>
    <w:rsid w:val="0027786F"/>
    <w:rsid w:val="00277D67"/>
    <w:rsid w:val="00277F70"/>
    <w:rsid w:val="00280560"/>
    <w:rsid w:val="00280C62"/>
    <w:rsid w:val="00280E22"/>
    <w:rsid w:val="00280F2A"/>
    <w:rsid w:val="002810E2"/>
    <w:rsid w:val="0028142D"/>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C8F"/>
    <w:rsid w:val="00287E65"/>
    <w:rsid w:val="00287EA5"/>
    <w:rsid w:val="00290812"/>
    <w:rsid w:val="00290B54"/>
    <w:rsid w:val="002921F7"/>
    <w:rsid w:val="0029227A"/>
    <w:rsid w:val="0029240D"/>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72B2"/>
    <w:rsid w:val="002A73FE"/>
    <w:rsid w:val="002A7C48"/>
    <w:rsid w:val="002A7D48"/>
    <w:rsid w:val="002B0A56"/>
    <w:rsid w:val="002B0D33"/>
    <w:rsid w:val="002B0DE3"/>
    <w:rsid w:val="002B1BF1"/>
    <w:rsid w:val="002B1C2A"/>
    <w:rsid w:val="002B1F58"/>
    <w:rsid w:val="002B223B"/>
    <w:rsid w:val="002B274A"/>
    <w:rsid w:val="002B31BF"/>
    <w:rsid w:val="002B3308"/>
    <w:rsid w:val="002B336A"/>
    <w:rsid w:val="002B3C02"/>
    <w:rsid w:val="002B3C5C"/>
    <w:rsid w:val="002B3FDC"/>
    <w:rsid w:val="002B4333"/>
    <w:rsid w:val="002B44C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6AC"/>
    <w:rsid w:val="002C47F0"/>
    <w:rsid w:val="002C4B5A"/>
    <w:rsid w:val="002C5049"/>
    <w:rsid w:val="002C549B"/>
    <w:rsid w:val="002C5E2F"/>
    <w:rsid w:val="002C5F78"/>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2F1E"/>
    <w:rsid w:val="0032309A"/>
    <w:rsid w:val="0032358C"/>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AD4"/>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E60"/>
    <w:rsid w:val="00350F9C"/>
    <w:rsid w:val="00351124"/>
    <w:rsid w:val="0035116C"/>
    <w:rsid w:val="00351170"/>
    <w:rsid w:val="003518C4"/>
    <w:rsid w:val="00351A4C"/>
    <w:rsid w:val="00351CAC"/>
    <w:rsid w:val="00351EC2"/>
    <w:rsid w:val="00351FC9"/>
    <w:rsid w:val="003525E1"/>
    <w:rsid w:val="00352650"/>
    <w:rsid w:val="00352FCB"/>
    <w:rsid w:val="003531AC"/>
    <w:rsid w:val="0035370E"/>
    <w:rsid w:val="003538EB"/>
    <w:rsid w:val="0035398C"/>
    <w:rsid w:val="00353A71"/>
    <w:rsid w:val="003540E5"/>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937"/>
    <w:rsid w:val="00384BF5"/>
    <w:rsid w:val="00385205"/>
    <w:rsid w:val="00385447"/>
    <w:rsid w:val="00385451"/>
    <w:rsid w:val="00385E7C"/>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87C"/>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404A"/>
    <w:rsid w:val="003A437B"/>
    <w:rsid w:val="003A4604"/>
    <w:rsid w:val="003A4A14"/>
    <w:rsid w:val="003A4CC4"/>
    <w:rsid w:val="003A5119"/>
    <w:rsid w:val="003A53BB"/>
    <w:rsid w:val="003A5981"/>
    <w:rsid w:val="003A5CAA"/>
    <w:rsid w:val="003A6032"/>
    <w:rsid w:val="003A67FF"/>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CCB"/>
    <w:rsid w:val="003B2D74"/>
    <w:rsid w:val="003B345F"/>
    <w:rsid w:val="003B349A"/>
    <w:rsid w:val="003B34F1"/>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05"/>
    <w:rsid w:val="003D47EE"/>
    <w:rsid w:val="003D48F5"/>
    <w:rsid w:val="003D4DE6"/>
    <w:rsid w:val="003D5126"/>
    <w:rsid w:val="003D53BD"/>
    <w:rsid w:val="003D5DD0"/>
    <w:rsid w:val="003D6568"/>
    <w:rsid w:val="003D69E5"/>
    <w:rsid w:val="003D6AE8"/>
    <w:rsid w:val="003D704E"/>
    <w:rsid w:val="003D731B"/>
    <w:rsid w:val="003D76A5"/>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924"/>
    <w:rsid w:val="00415CCA"/>
    <w:rsid w:val="00416506"/>
    <w:rsid w:val="0041665E"/>
    <w:rsid w:val="004167FC"/>
    <w:rsid w:val="00416BB5"/>
    <w:rsid w:val="00416F2C"/>
    <w:rsid w:val="00417040"/>
    <w:rsid w:val="00417105"/>
    <w:rsid w:val="00417110"/>
    <w:rsid w:val="00417356"/>
    <w:rsid w:val="00417518"/>
    <w:rsid w:val="00417A61"/>
    <w:rsid w:val="004205A2"/>
    <w:rsid w:val="0042089C"/>
    <w:rsid w:val="00420BC5"/>
    <w:rsid w:val="00420DC5"/>
    <w:rsid w:val="0042188F"/>
    <w:rsid w:val="004218B7"/>
    <w:rsid w:val="004221D5"/>
    <w:rsid w:val="00422219"/>
    <w:rsid w:val="004228F9"/>
    <w:rsid w:val="00422989"/>
    <w:rsid w:val="00422B0D"/>
    <w:rsid w:val="00422E97"/>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C5"/>
    <w:rsid w:val="004543EF"/>
    <w:rsid w:val="004544DB"/>
    <w:rsid w:val="0045464F"/>
    <w:rsid w:val="004547C3"/>
    <w:rsid w:val="00454AA3"/>
    <w:rsid w:val="00454AF1"/>
    <w:rsid w:val="00454EC8"/>
    <w:rsid w:val="00455267"/>
    <w:rsid w:val="0045550B"/>
    <w:rsid w:val="0045587C"/>
    <w:rsid w:val="00455A9D"/>
    <w:rsid w:val="00455D49"/>
    <w:rsid w:val="0046029C"/>
    <w:rsid w:val="0046047F"/>
    <w:rsid w:val="0046081F"/>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633"/>
    <w:rsid w:val="00477D44"/>
    <w:rsid w:val="00477E76"/>
    <w:rsid w:val="004812B9"/>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E42"/>
    <w:rsid w:val="004902AE"/>
    <w:rsid w:val="004902E9"/>
    <w:rsid w:val="00490480"/>
    <w:rsid w:val="00490668"/>
    <w:rsid w:val="00491048"/>
    <w:rsid w:val="0049105C"/>
    <w:rsid w:val="00491C2D"/>
    <w:rsid w:val="00491DBE"/>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16D0"/>
    <w:rsid w:val="004A1824"/>
    <w:rsid w:val="004A1BBD"/>
    <w:rsid w:val="004A2124"/>
    <w:rsid w:val="004A21CB"/>
    <w:rsid w:val="004A22AA"/>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F4F"/>
    <w:rsid w:val="004A79C3"/>
    <w:rsid w:val="004A7B80"/>
    <w:rsid w:val="004B023C"/>
    <w:rsid w:val="004B060A"/>
    <w:rsid w:val="004B0E3C"/>
    <w:rsid w:val="004B117D"/>
    <w:rsid w:val="004B1691"/>
    <w:rsid w:val="004B175F"/>
    <w:rsid w:val="004B1AD8"/>
    <w:rsid w:val="004B1B10"/>
    <w:rsid w:val="004B1ECF"/>
    <w:rsid w:val="004B1FFE"/>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286D"/>
    <w:rsid w:val="004C3263"/>
    <w:rsid w:val="004C3B23"/>
    <w:rsid w:val="004C3DDB"/>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1D64"/>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91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632"/>
    <w:rsid w:val="004F3BD4"/>
    <w:rsid w:val="004F417E"/>
    <w:rsid w:val="004F47D9"/>
    <w:rsid w:val="004F4A1D"/>
    <w:rsid w:val="004F50FF"/>
    <w:rsid w:val="004F5463"/>
    <w:rsid w:val="004F5696"/>
    <w:rsid w:val="004F5AA0"/>
    <w:rsid w:val="004F6767"/>
    <w:rsid w:val="004F6DD0"/>
    <w:rsid w:val="004F735F"/>
    <w:rsid w:val="00500489"/>
    <w:rsid w:val="00500A04"/>
    <w:rsid w:val="0050129D"/>
    <w:rsid w:val="00501536"/>
    <w:rsid w:val="00501761"/>
    <w:rsid w:val="00501C1D"/>
    <w:rsid w:val="00502356"/>
    <w:rsid w:val="005025A7"/>
    <w:rsid w:val="005027E4"/>
    <w:rsid w:val="005028A0"/>
    <w:rsid w:val="0050291C"/>
    <w:rsid w:val="00502976"/>
    <w:rsid w:val="00502C94"/>
    <w:rsid w:val="00503075"/>
    <w:rsid w:val="005034F7"/>
    <w:rsid w:val="00503F12"/>
    <w:rsid w:val="0050407A"/>
    <w:rsid w:val="00504296"/>
    <w:rsid w:val="00504945"/>
    <w:rsid w:val="00504984"/>
    <w:rsid w:val="00504C64"/>
    <w:rsid w:val="0050523E"/>
    <w:rsid w:val="00505745"/>
    <w:rsid w:val="005059B8"/>
    <w:rsid w:val="00505C5D"/>
    <w:rsid w:val="00505EDE"/>
    <w:rsid w:val="00505EF8"/>
    <w:rsid w:val="00506640"/>
    <w:rsid w:val="00506681"/>
    <w:rsid w:val="0050677E"/>
    <w:rsid w:val="0050699D"/>
    <w:rsid w:val="005077BD"/>
    <w:rsid w:val="00507C79"/>
    <w:rsid w:val="00510264"/>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AB6"/>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FD0"/>
    <w:rsid w:val="005401E8"/>
    <w:rsid w:val="00540C19"/>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644"/>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71C"/>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C5B"/>
    <w:rsid w:val="00593C80"/>
    <w:rsid w:val="005940C8"/>
    <w:rsid w:val="005949FB"/>
    <w:rsid w:val="00595324"/>
    <w:rsid w:val="00595939"/>
    <w:rsid w:val="00595960"/>
    <w:rsid w:val="00595DFF"/>
    <w:rsid w:val="005963B9"/>
    <w:rsid w:val="005964B0"/>
    <w:rsid w:val="005965A0"/>
    <w:rsid w:val="00596699"/>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DAC"/>
    <w:rsid w:val="005B211E"/>
    <w:rsid w:val="005B21C8"/>
    <w:rsid w:val="005B277F"/>
    <w:rsid w:val="005B2D4F"/>
    <w:rsid w:val="005B2F20"/>
    <w:rsid w:val="005B46DD"/>
    <w:rsid w:val="005B4F82"/>
    <w:rsid w:val="005B5B6D"/>
    <w:rsid w:val="005B5E55"/>
    <w:rsid w:val="005B6A09"/>
    <w:rsid w:val="005B6AC1"/>
    <w:rsid w:val="005B6D12"/>
    <w:rsid w:val="005B74E5"/>
    <w:rsid w:val="005B7533"/>
    <w:rsid w:val="005B753B"/>
    <w:rsid w:val="005B7C6D"/>
    <w:rsid w:val="005B7CB7"/>
    <w:rsid w:val="005B7D8F"/>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D08"/>
    <w:rsid w:val="005C6E1F"/>
    <w:rsid w:val="005C7443"/>
    <w:rsid w:val="005C7A9D"/>
    <w:rsid w:val="005C7D67"/>
    <w:rsid w:val="005D077C"/>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780"/>
    <w:rsid w:val="006178BB"/>
    <w:rsid w:val="00617BF8"/>
    <w:rsid w:val="00620606"/>
    <w:rsid w:val="0062126F"/>
    <w:rsid w:val="006214BE"/>
    <w:rsid w:val="00621BC7"/>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4BF4"/>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6A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65D"/>
    <w:rsid w:val="00694E88"/>
    <w:rsid w:val="006950E7"/>
    <w:rsid w:val="00695F9E"/>
    <w:rsid w:val="00696318"/>
    <w:rsid w:val="0069656D"/>
    <w:rsid w:val="006965DA"/>
    <w:rsid w:val="00696F1E"/>
    <w:rsid w:val="00697742"/>
    <w:rsid w:val="00697F63"/>
    <w:rsid w:val="006A0EF8"/>
    <w:rsid w:val="006A11E2"/>
    <w:rsid w:val="006A23A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419"/>
    <w:rsid w:val="006B5A51"/>
    <w:rsid w:val="006B6237"/>
    <w:rsid w:val="006B6C4B"/>
    <w:rsid w:val="006B6CDD"/>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81C"/>
    <w:rsid w:val="007132A9"/>
    <w:rsid w:val="007133B1"/>
    <w:rsid w:val="00713759"/>
    <w:rsid w:val="00713805"/>
    <w:rsid w:val="00713F48"/>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724"/>
    <w:rsid w:val="00721B19"/>
    <w:rsid w:val="007220C1"/>
    <w:rsid w:val="00722639"/>
    <w:rsid w:val="00722748"/>
    <w:rsid w:val="00722836"/>
    <w:rsid w:val="00722E5B"/>
    <w:rsid w:val="0072316F"/>
    <w:rsid w:val="00723C5D"/>
    <w:rsid w:val="00723E6A"/>
    <w:rsid w:val="00723EC9"/>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1AD"/>
    <w:rsid w:val="007344D5"/>
    <w:rsid w:val="007349CB"/>
    <w:rsid w:val="00735128"/>
    <w:rsid w:val="00735525"/>
    <w:rsid w:val="007357D0"/>
    <w:rsid w:val="0073634A"/>
    <w:rsid w:val="007368BA"/>
    <w:rsid w:val="00736BE8"/>
    <w:rsid w:val="007370C3"/>
    <w:rsid w:val="007371B0"/>
    <w:rsid w:val="0073771E"/>
    <w:rsid w:val="007379E7"/>
    <w:rsid w:val="00737A79"/>
    <w:rsid w:val="00737C5A"/>
    <w:rsid w:val="00737DBB"/>
    <w:rsid w:val="00740335"/>
    <w:rsid w:val="007406BC"/>
    <w:rsid w:val="00741252"/>
    <w:rsid w:val="0074138B"/>
    <w:rsid w:val="007424B0"/>
    <w:rsid w:val="007426AA"/>
    <w:rsid w:val="00742D18"/>
    <w:rsid w:val="00742EF7"/>
    <w:rsid w:val="0074307A"/>
    <w:rsid w:val="007439D1"/>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6C0"/>
    <w:rsid w:val="007557B8"/>
    <w:rsid w:val="007557FE"/>
    <w:rsid w:val="00755870"/>
    <w:rsid w:val="00755B39"/>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ADB"/>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7F9"/>
    <w:rsid w:val="00767881"/>
    <w:rsid w:val="0076791A"/>
    <w:rsid w:val="00767C2D"/>
    <w:rsid w:val="00767EFA"/>
    <w:rsid w:val="00767F44"/>
    <w:rsid w:val="00770278"/>
    <w:rsid w:val="00770582"/>
    <w:rsid w:val="00770799"/>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632B"/>
    <w:rsid w:val="007767AC"/>
    <w:rsid w:val="007767F8"/>
    <w:rsid w:val="00776AD7"/>
    <w:rsid w:val="00776C1C"/>
    <w:rsid w:val="00777113"/>
    <w:rsid w:val="00777E2D"/>
    <w:rsid w:val="0078021B"/>
    <w:rsid w:val="00780308"/>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577"/>
    <w:rsid w:val="007906C9"/>
    <w:rsid w:val="007907A1"/>
    <w:rsid w:val="00791559"/>
    <w:rsid w:val="0079172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6E27"/>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F34"/>
    <w:rsid w:val="007C20D2"/>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A8"/>
    <w:rsid w:val="007E68F8"/>
    <w:rsid w:val="007E6A3B"/>
    <w:rsid w:val="007E6AFA"/>
    <w:rsid w:val="007E72E4"/>
    <w:rsid w:val="007E7A10"/>
    <w:rsid w:val="007F018C"/>
    <w:rsid w:val="007F047C"/>
    <w:rsid w:val="007F095E"/>
    <w:rsid w:val="007F0E53"/>
    <w:rsid w:val="007F1056"/>
    <w:rsid w:val="007F1BA2"/>
    <w:rsid w:val="007F2A5F"/>
    <w:rsid w:val="007F2B30"/>
    <w:rsid w:val="007F2EE2"/>
    <w:rsid w:val="007F3469"/>
    <w:rsid w:val="007F3D88"/>
    <w:rsid w:val="007F447D"/>
    <w:rsid w:val="007F4708"/>
    <w:rsid w:val="007F4B4B"/>
    <w:rsid w:val="007F5210"/>
    <w:rsid w:val="007F540C"/>
    <w:rsid w:val="007F5890"/>
    <w:rsid w:val="007F59EF"/>
    <w:rsid w:val="007F645E"/>
    <w:rsid w:val="007F6925"/>
    <w:rsid w:val="007F6C46"/>
    <w:rsid w:val="007F70E5"/>
    <w:rsid w:val="007F716C"/>
    <w:rsid w:val="007F7271"/>
    <w:rsid w:val="007F7AA6"/>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165F"/>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61B8"/>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35"/>
    <w:rsid w:val="00832D9C"/>
    <w:rsid w:val="00833398"/>
    <w:rsid w:val="008333D1"/>
    <w:rsid w:val="008335E0"/>
    <w:rsid w:val="00833AC3"/>
    <w:rsid w:val="00833B9B"/>
    <w:rsid w:val="00833CEA"/>
    <w:rsid w:val="0083463C"/>
    <w:rsid w:val="008348B6"/>
    <w:rsid w:val="00834A06"/>
    <w:rsid w:val="00834BA0"/>
    <w:rsid w:val="00834EAD"/>
    <w:rsid w:val="0083526F"/>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D3"/>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CA6"/>
    <w:rsid w:val="00861E6D"/>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F6C"/>
    <w:rsid w:val="00874AB8"/>
    <w:rsid w:val="00874F16"/>
    <w:rsid w:val="008750EA"/>
    <w:rsid w:val="00875849"/>
    <w:rsid w:val="00875EB4"/>
    <w:rsid w:val="008769AD"/>
    <w:rsid w:val="00876DC4"/>
    <w:rsid w:val="00876F06"/>
    <w:rsid w:val="0087756D"/>
    <w:rsid w:val="00877CCD"/>
    <w:rsid w:val="00880C70"/>
    <w:rsid w:val="008814A9"/>
    <w:rsid w:val="008814FB"/>
    <w:rsid w:val="00881531"/>
    <w:rsid w:val="008819F1"/>
    <w:rsid w:val="00881C25"/>
    <w:rsid w:val="00881E0C"/>
    <w:rsid w:val="00882293"/>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2E83"/>
    <w:rsid w:val="008932E5"/>
    <w:rsid w:val="00893350"/>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40BD"/>
    <w:rsid w:val="008A458A"/>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7BB"/>
    <w:rsid w:val="008B39D0"/>
    <w:rsid w:val="008B3D17"/>
    <w:rsid w:val="008B3F13"/>
    <w:rsid w:val="008B409D"/>
    <w:rsid w:val="008B4166"/>
    <w:rsid w:val="008B452C"/>
    <w:rsid w:val="008B458A"/>
    <w:rsid w:val="008B4C0F"/>
    <w:rsid w:val="008B4CB7"/>
    <w:rsid w:val="008B51FC"/>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1C3"/>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6E9"/>
    <w:rsid w:val="008F6DAC"/>
    <w:rsid w:val="008F70BC"/>
    <w:rsid w:val="008F7BC4"/>
    <w:rsid w:val="008F7CD9"/>
    <w:rsid w:val="008F7ED1"/>
    <w:rsid w:val="009003E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22EC"/>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10E7"/>
    <w:rsid w:val="00921908"/>
    <w:rsid w:val="00921FBF"/>
    <w:rsid w:val="0092214B"/>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1C7F"/>
    <w:rsid w:val="0093248B"/>
    <w:rsid w:val="00932D40"/>
    <w:rsid w:val="00932F5C"/>
    <w:rsid w:val="009331CB"/>
    <w:rsid w:val="009334C2"/>
    <w:rsid w:val="00933E4F"/>
    <w:rsid w:val="00934237"/>
    <w:rsid w:val="009346C9"/>
    <w:rsid w:val="009346F1"/>
    <w:rsid w:val="00934D69"/>
    <w:rsid w:val="0093559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A9"/>
    <w:rsid w:val="00944CDB"/>
    <w:rsid w:val="00944D88"/>
    <w:rsid w:val="009451C7"/>
    <w:rsid w:val="0094543D"/>
    <w:rsid w:val="00945B6B"/>
    <w:rsid w:val="00945F49"/>
    <w:rsid w:val="00946209"/>
    <w:rsid w:val="00946405"/>
    <w:rsid w:val="0094693C"/>
    <w:rsid w:val="00946F74"/>
    <w:rsid w:val="00946FB7"/>
    <w:rsid w:val="009471A0"/>
    <w:rsid w:val="00947437"/>
    <w:rsid w:val="00947E8A"/>
    <w:rsid w:val="009500D3"/>
    <w:rsid w:val="00950709"/>
    <w:rsid w:val="00950CA0"/>
    <w:rsid w:val="00950CEF"/>
    <w:rsid w:val="00952379"/>
    <w:rsid w:val="009524EC"/>
    <w:rsid w:val="00952559"/>
    <w:rsid w:val="00952FE3"/>
    <w:rsid w:val="00953242"/>
    <w:rsid w:val="00953A2A"/>
    <w:rsid w:val="00953CA4"/>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A30"/>
    <w:rsid w:val="00973112"/>
    <w:rsid w:val="00973CD9"/>
    <w:rsid w:val="00973D59"/>
    <w:rsid w:val="00973F03"/>
    <w:rsid w:val="009749D9"/>
    <w:rsid w:val="00975634"/>
    <w:rsid w:val="00975944"/>
    <w:rsid w:val="00975DF6"/>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51D"/>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5D"/>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2647"/>
    <w:rsid w:val="00A02AD2"/>
    <w:rsid w:val="00A02B74"/>
    <w:rsid w:val="00A02D83"/>
    <w:rsid w:val="00A02FDC"/>
    <w:rsid w:val="00A0338B"/>
    <w:rsid w:val="00A0375A"/>
    <w:rsid w:val="00A04E3C"/>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5A"/>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96A"/>
    <w:rsid w:val="00A23AD6"/>
    <w:rsid w:val="00A23F87"/>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191"/>
    <w:rsid w:val="00A372ED"/>
    <w:rsid w:val="00A37632"/>
    <w:rsid w:val="00A37D25"/>
    <w:rsid w:val="00A401C7"/>
    <w:rsid w:val="00A40237"/>
    <w:rsid w:val="00A40BFA"/>
    <w:rsid w:val="00A41193"/>
    <w:rsid w:val="00A414EE"/>
    <w:rsid w:val="00A41C1E"/>
    <w:rsid w:val="00A424B5"/>
    <w:rsid w:val="00A42921"/>
    <w:rsid w:val="00A43505"/>
    <w:rsid w:val="00A44164"/>
    <w:rsid w:val="00A444C4"/>
    <w:rsid w:val="00A4570A"/>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2591"/>
    <w:rsid w:val="00A530C9"/>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2BA"/>
    <w:rsid w:val="00A63BE3"/>
    <w:rsid w:val="00A63D8C"/>
    <w:rsid w:val="00A63FDB"/>
    <w:rsid w:val="00A6482A"/>
    <w:rsid w:val="00A64C91"/>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75E"/>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917"/>
    <w:rsid w:val="00A85290"/>
    <w:rsid w:val="00A85890"/>
    <w:rsid w:val="00A85918"/>
    <w:rsid w:val="00A85CDB"/>
    <w:rsid w:val="00A85EDB"/>
    <w:rsid w:val="00A8617D"/>
    <w:rsid w:val="00A86914"/>
    <w:rsid w:val="00A86A72"/>
    <w:rsid w:val="00A87ACF"/>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934"/>
    <w:rsid w:val="00A97BCD"/>
    <w:rsid w:val="00A97FDA"/>
    <w:rsid w:val="00AA0010"/>
    <w:rsid w:val="00AA030D"/>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1D9E"/>
    <w:rsid w:val="00AF2637"/>
    <w:rsid w:val="00AF263D"/>
    <w:rsid w:val="00AF265B"/>
    <w:rsid w:val="00AF390C"/>
    <w:rsid w:val="00AF3A72"/>
    <w:rsid w:val="00AF3A99"/>
    <w:rsid w:val="00AF3B73"/>
    <w:rsid w:val="00AF3FBB"/>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0BB9"/>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D7B"/>
    <w:rsid w:val="00B44F2F"/>
    <w:rsid w:val="00B450BF"/>
    <w:rsid w:val="00B45BE0"/>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617"/>
    <w:rsid w:val="00B6289E"/>
    <w:rsid w:val="00B6299E"/>
    <w:rsid w:val="00B62C4F"/>
    <w:rsid w:val="00B63361"/>
    <w:rsid w:val="00B63785"/>
    <w:rsid w:val="00B63B1A"/>
    <w:rsid w:val="00B63BA6"/>
    <w:rsid w:val="00B6477E"/>
    <w:rsid w:val="00B64D47"/>
    <w:rsid w:val="00B64EF1"/>
    <w:rsid w:val="00B650A9"/>
    <w:rsid w:val="00B6548A"/>
    <w:rsid w:val="00B6578A"/>
    <w:rsid w:val="00B657E1"/>
    <w:rsid w:val="00B65815"/>
    <w:rsid w:val="00B6646E"/>
    <w:rsid w:val="00B66F2B"/>
    <w:rsid w:val="00B67C9F"/>
    <w:rsid w:val="00B703C0"/>
    <w:rsid w:val="00B70475"/>
    <w:rsid w:val="00B70B4A"/>
    <w:rsid w:val="00B70C79"/>
    <w:rsid w:val="00B70DB2"/>
    <w:rsid w:val="00B70DEB"/>
    <w:rsid w:val="00B71636"/>
    <w:rsid w:val="00B71951"/>
    <w:rsid w:val="00B71C3E"/>
    <w:rsid w:val="00B71F47"/>
    <w:rsid w:val="00B724EC"/>
    <w:rsid w:val="00B727FD"/>
    <w:rsid w:val="00B72AFA"/>
    <w:rsid w:val="00B72CD6"/>
    <w:rsid w:val="00B72D63"/>
    <w:rsid w:val="00B72F40"/>
    <w:rsid w:val="00B737F1"/>
    <w:rsid w:val="00B73842"/>
    <w:rsid w:val="00B739FA"/>
    <w:rsid w:val="00B74504"/>
    <w:rsid w:val="00B74AF5"/>
    <w:rsid w:val="00B75462"/>
    <w:rsid w:val="00B75BED"/>
    <w:rsid w:val="00B75F5A"/>
    <w:rsid w:val="00B76036"/>
    <w:rsid w:val="00B760C7"/>
    <w:rsid w:val="00B7643D"/>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B2"/>
    <w:rsid w:val="00BB3170"/>
    <w:rsid w:val="00BB3587"/>
    <w:rsid w:val="00BB3626"/>
    <w:rsid w:val="00BB395F"/>
    <w:rsid w:val="00BB3CD3"/>
    <w:rsid w:val="00BB4327"/>
    <w:rsid w:val="00BB4486"/>
    <w:rsid w:val="00BB4D69"/>
    <w:rsid w:val="00BB52D1"/>
    <w:rsid w:val="00BB53AB"/>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72"/>
    <w:rsid w:val="00C219A1"/>
    <w:rsid w:val="00C21BA4"/>
    <w:rsid w:val="00C21E6A"/>
    <w:rsid w:val="00C225DC"/>
    <w:rsid w:val="00C227CB"/>
    <w:rsid w:val="00C22A00"/>
    <w:rsid w:val="00C231BC"/>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149"/>
    <w:rsid w:val="00C534AA"/>
    <w:rsid w:val="00C53699"/>
    <w:rsid w:val="00C53709"/>
    <w:rsid w:val="00C54EA5"/>
    <w:rsid w:val="00C55190"/>
    <w:rsid w:val="00C553D8"/>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98C"/>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30D9"/>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A36"/>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0E90"/>
    <w:rsid w:val="00CF1372"/>
    <w:rsid w:val="00CF17AD"/>
    <w:rsid w:val="00CF1B55"/>
    <w:rsid w:val="00CF20AD"/>
    <w:rsid w:val="00CF23FB"/>
    <w:rsid w:val="00CF29C0"/>
    <w:rsid w:val="00CF2EB4"/>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D00AF9"/>
    <w:rsid w:val="00D00C3A"/>
    <w:rsid w:val="00D00CC7"/>
    <w:rsid w:val="00D00CDC"/>
    <w:rsid w:val="00D01032"/>
    <w:rsid w:val="00D01741"/>
    <w:rsid w:val="00D01B5E"/>
    <w:rsid w:val="00D02259"/>
    <w:rsid w:val="00D024D2"/>
    <w:rsid w:val="00D026CE"/>
    <w:rsid w:val="00D02D37"/>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5D0"/>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8E5"/>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EC4"/>
    <w:rsid w:val="00D62F23"/>
    <w:rsid w:val="00D6323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5F8D"/>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609"/>
    <w:rsid w:val="00DD7D29"/>
    <w:rsid w:val="00DD7EE8"/>
    <w:rsid w:val="00DE0122"/>
    <w:rsid w:val="00DE0301"/>
    <w:rsid w:val="00DE0CB4"/>
    <w:rsid w:val="00DE0F0C"/>
    <w:rsid w:val="00DE18FE"/>
    <w:rsid w:val="00DE1D21"/>
    <w:rsid w:val="00DE2640"/>
    <w:rsid w:val="00DE2A23"/>
    <w:rsid w:val="00DE2C91"/>
    <w:rsid w:val="00DE3105"/>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E8B"/>
    <w:rsid w:val="00E70452"/>
    <w:rsid w:val="00E70608"/>
    <w:rsid w:val="00E70A80"/>
    <w:rsid w:val="00E70C2C"/>
    <w:rsid w:val="00E71038"/>
    <w:rsid w:val="00E71362"/>
    <w:rsid w:val="00E719E2"/>
    <w:rsid w:val="00E72A18"/>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3AE"/>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AB7"/>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01B"/>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96"/>
    <w:rsid w:val="00EF5CAE"/>
    <w:rsid w:val="00EF5CF8"/>
    <w:rsid w:val="00EF5D64"/>
    <w:rsid w:val="00EF61C7"/>
    <w:rsid w:val="00EF68D9"/>
    <w:rsid w:val="00EF7339"/>
    <w:rsid w:val="00EF735B"/>
    <w:rsid w:val="00EF7AA6"/>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5B15"/>
    <w:rsid w:val="00F05DCA"/>
    <w:rsid w:val="00F06566"/>
    <w:rsid w:val="00F0760B"/>
    <w:rsid w:val="00F07958"/>
    <w:rsid w:val="00F07EF1"/>
    <w:rsid w:val="00F1000D"/>
    <w:rsid w:val="00F10681"/>
    <w:rsid w:val="00F10CC1"/>
    <w:rsid w:val="00F111CD"/>
    <w:rsid w:val="00F11B75"/>
    <w:rsid w:val="00F12AC3"/>
    <w:rsid w:val="00F132D7"/>
    <w:rsid w:val="00F13913"/>
    <w:rsid w:val="00F146E3"/>
    <w:rsid w:val="00F150D7"/>
    <w:rsid w:val="00F16399"/>
    <w:rsid w:val="00F1652C"/>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62E"/>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98F"/>
    <w:rsid w:val="00F52468"/>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5E2"/>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A59"/>
    <w:rsid w:val="00F74B00"/>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5E3C"/>
    <w:rsid w:val="00F96067"/>
    <w:rsid w:val="00F9665A"/>
    <w:rsid w:val="00F96B3C"/>
    <w:rsid w:val="00F970E2"/>
    <w:rsid w:val="00F971E9"/>
    <w:rsid w:val="00F97529"/>
    <w:rsid w:val="00FA0677"/>
    <w:rsid w:val="00FA07CB"/>
    <w:rsid w:val="00FA087D"/>
    <w:rsid w:val="00FA0A8F"/>
    <w:rsid w:val="00FA0D21"/>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651"/>
    <w:rsid w:val="00FC2DD2"/>
    <w:rsid w:val="00FC38F7"/>
    <w:rsid w:val="00FC48F9"/>
    <w:rsid w:val="00FC4A17"/>
    <w:rsid w:val="00FC4AE0"/>
    <w:rsid w:val="00FC4C1A"/>
    <w:rsid w:val="00FC5113"/>
    <w:rsid w:val="00FC5C56"/>
    <w:rsid w:val="00FC6343"/>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567"/>
    <w:rsid w:val="00FE4760"/>
    <w:rsid w:val="00FE4B68"/>
    <w:rsid w:val="00FE5172"/>
    <w:rsid w:val="00FE55D0"/>
    <w:rsid w:val="00FE578B"/>
    <w:rsid w:val="00FE594B"/>
    <w:rsid w:val="00FE5B49"/>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243A"/>
    <w:rsid w:val="00FF26BB"/>
    <w:rsid w:val="00FF3067"/>
    <w:rsid w:val="00FF357B"/>
    <w:rsid w:val="00FF366F"/>
    <w:rsid w:val="00FF3A39"/>
    <w:rsid w:val="00FF3E4F"/>
    <w:rsid w:val="00FF43BA"/>
    <w:rsid w:val="00FF4759"/>
    <w:rsid w:val="00FF47A0"/>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4,Memo,5,heading 4 + Indent: Left 0.5 in,标题3a,4th lev"/>
    <w:basedOn w:val="a0"/>
    <w:next w:val="a0"/>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
    <w:basedOn w:val="a0"/>
    <w:next w:val="a0"/>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qFormat/>
    <w:locked/>
    <w:rsid w:val="00192435"/>
    <w:rPr>
      <w:kern w:val="2"/>
      <w:sz w:val="22"/>
      <w:szCs w:val="24"/>
      <w:lang w:val="en-GB"/>
    </w:rPr>
  </w:style>
  <w:style w:type="character" w:styleId="af9">
    <w:name w:val="Placeholder Text"/>
    <w:basedOn w:val="a1"/>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23"/>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
    <w:basedOn w:val="a1"/>
    <w:link w:val="5"/>
    <w:rsid w:val="00E92C26"/>
    <w:rPr>
      <w:b/>
      <w:bCs/>
      <w:kern w:val="2"/>
      <w:sz w:val="24"/>
      <w:szCs w:val="24"/>
    </w:rPr>
  </w:style>
  <w:style w:type="paragraph" w:customStyle="1" w:styleId="EQ">
    <w:name w:val="EQ"/>
    <w:basedOn w:val="a0"/>
    <w:next w:val="a0"/>
    <w:uiPriority w:val="99"/>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31"/>
    <w:link w:val="B3Char"/>
    <w:rsid w:val="00384937"/>
    <w:pPr>
      <w:wordWrap/>
      <w:overflowPunct w:val="0"/>
      <w:adjustRightInd w:val="0"/>
      <w:spacing w:after="180"/>
      <w:ind w:leftChars="0" w:left="1135" w:firstLineChars="0" w:hanging="284"/>
      <w:contextualSpacing w:val="0"/>
      <w:jc w:val="left"/>
      <w:textAlignment w:val="baseline"/>
    </w:pPr>
    <w:rPr>
      <w:rFonts w:ascii="Times New Roman" w:eastAsia="Times New Roman" w:hAnsi="Times New Roman" w:cs="Times New Roman"/>
      <w:lang w:val="en-GB" w:eastAsia="en-GB"/>
    </w:rPr>
  </w:style>
  <w:style w:type="character" w:customStyle="1" w:styleId="B3Char">
    <w:name w:val="B3 Char"/>
    <w:link w:val="B3"/>
    <w:rsid w:val="00384937"/>
    <w:rPr>
      <w:rFonts w:eastAsia="Times New Roman"/>
      <w:lang w:val="en-GB" w:eastAsia="en-GB"/>
    </w:rPr>
  </w:style>
  <w:style w:type="character" w:customStyle="1" w:styleId="B2Char">
    <w:name w:val="B2 Char"/>
    <w:link w:val="B2"/>
    <w:locked/>
    <w:rsid w:val="00384937"/>
    <w:rPr>
      <w:rFonts w:eastAsia="맑은 고딕"/>
      <w:lang w:val="en-GB" w:eastAsia="en-US"/>
    </w:rPr>
  </w:style>
  <w:style w:type="paragraph" w:styleId="31">
    <w:name w:val="List 3"/>
    <w:basedOn w:val="a0"/>
    <w:semiHidden/>
    <w:unhideWhenUsed/>
    <w:rsid w:val="00384937"/>
    <w:pPr>
      <w:ind w:leftChars="600" w:left="100" w:hangingChars="200" w:hanging="200"/>
      <w:contextualSpacing/>
    </w:pPr>
  </w:style>
  <w:style w:type="character" w:customStyle="1" w:styleId="B1Zchn">
    <w:name w:val="B1 Zchn"/>
    <w:qFormat/>
    <w:rsid w:val="005677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11616-9F0E-4A1B-BC3B-3041F359B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1048</Words>
  <Characters>5979</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고우석/연구위원/차세대표준(연)커넥티드카 표준Task(woosuk.ko@lge.com)</cp:lastModifiedBy>
  <cp:revision>4</cp:revision>
  <cp:lastPrinted>2014-01-26T05:26:00Z</cp:lastPrinted>
  <dcterms:created xsi:type="dcterms:W3CDTF">2020-04-10T13:05:00Z</dcterms:created>
  <dcterms:modified xsi:type="dcterms:W3CDTF">2020-04-10T13:34:00Z</dcterms:modified>
</cp:coreProperties>
</file>